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85F60" w14:textId="77777777" w:rsidR="00A340AA" w:rsidRDefault="005B0706" w:rsidP="005B0706">
      <w:pPr>
        <w:jc w:val="center"/>
        <w:rPr>
          <w:b/>
          <w:sz w:val="28"/>
          <w:szCs w:val="28"/>
          <w:lang w:val="en-US"/>
        </w:rPr>
      </w:pPr>
      <w:r w:rsidRPr="005B0706">
        <w:rPr>
          <w:b/>
          <w:sz w:val="28"/>
          <w:szCs w:val="28"/>
          <w:lang w:val="en-US"/>
        </w:rPr>
        <w:t xml:space="preserve">On-the-Job Training Plan for </w:t>
      </w:r>
      <w:r w:rsidR="00A340AA">
        <w:rPr>
          <w:b/>
          <w:sz w:val="28"/>
          <w:szCs w:val="28"/>
          <w:lang w:val="en-US"/>
        </w:rPr>
        <w:t>Palestine and Jordan</w:t>
      </w:r>
    </w:p>
    <w:p w14:paraId="01BF668B" w14:textId="4154E165" w:rsidR="005B0706" w:rsidRDefault="009726E9" w:rsidP="005B070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Irrigation</w:t>
      </w:r>
      <w:r w:rsidR="005B0706" w:rsidRPr="005B0706">
        <w:rPr>
          <w:b/>
          <w:sz w:val="28"/>
          <w:szCs w:val="28"/>
          <w:lang w:val="en-US"/>
        </w:rPr>
        <w:t xml:space="preserve"> Groundwater </w:t>
      </w:r>
      <w:r w:rsidR="00FF28DF">
        <w:rPr>
          <w:b/>
          <w:sz w:val="28"/>
          <w:szCs w:val="28"/>
          <w:lang w:val="en-US"/>
        </w:rPr>
        <w:t>Assessment</w:t>
      </w:r>
      <w:r w:rsidR="005B0706" w:rsidRPr="005B0706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(</w:t>
      </w:r>
      <w:proofErr w:type="spellStart"/>
      <w:r>
        <w:rPr>
          <w:b/>
          <w:sz w:val="28"/>
          <w:szCs w:val="28"/>
          <w:lang w:val="en-US"/>
        </w:rPr>
        <w:t>IGwA</w:t>
      </w:r>
      <w:proofErr w:type="spellEnd"/>
      <w:r>
        <w:rPr>
          <w:b/>
          <w:sz w:val="28"/>
          <w:szCs w:val="28"/>
          <w:lang w:val="en-US"/>
        </w:rPr>
        <w:t>)</w:t>
      </w:r>
      <w:r w:rsidR="00440E7B" w:rsidRPr="00440E7B">
        <w:t xml:space="preserve"> </w:t>
      </w:r>
      <w:r w:rsidR="00A340AA">
        <w:rPr>
          <w:b/>
          <w:sz w:val="28"/>
          <w:szCs w:val="28"/>
          <w:lang w:val="en-US"/>
        </w:rPr>
        <w:t xml:space="preserve">and </w:t>
      </w:r>
      <w:proofErr w:type="spellStart"/>
      <w:r w:rsidR="00A340AA">
        <w:rPr>
          <w:b/>
          <w:sz w:val="28"/>
          <w:szCs w:val="28"/>
          <w:lang w:val="en-US"/>
        </w:rPr>
        <w:t>WaPOR</w:t>
      </w:r>
      <w:proofErr w:type="spellEnd"/>
      <w:r w:rsidR="00A340AA">
        <w:rPr>
          <w:b/>
          <w:sz w:val="28"/>
          <w:szCs w:val="28"/>
          <w:lang w:val="en-US"/>
        </w:rPr>
        <w:t xml:space="preserve"> integration in </w:t>
      </w:r>
      <w:r w:rsidR="0007588E">
        <w:rPr>
          <w:b/>
          <w:sz w:val="28"/>
          <w:szCs w:val="28"/>
          <w:lang w:val="en-US"/>
        </w:rPr>
        <w:t>N</w:t>
      </w:r>
      <w:r w:rsidR="00A340AA">
        <w:rPr>
          <w:b/>
          <w:sz w:val="28"/>
          <w:szCs w:val="28"/>
          <w:lang w:val="en-US"/>
        </w:rPr>
        <w:t>WIS</w:t>
      </w:r>
    </w:p>
    <w:p w14:paraId="3A638796" w14:textId="5EF818B3" w:rsidR="005B0706" w:rsidRPr="00C71340" w:rsidRDefault="005B0706" w:rsidP="005B0706">
      <w:pPr>
        <w:rPr>
          <w:rFonts w:asciiTheme="majorHAnsi" w:hAnsiTheme="majorHAnsi" w:cstheme="majorHAnsi"/>
        </w:rPr>
      </w:pPr>
      <w:r w:rsidRPr="00C71340">
        <w:rPr>
          <w:rFonts w:asciiTheme="majorHAnsi" w:hAnsiTheme="majorHAnsi" w:cstheme="majorHAnsi"/>
          <w:b/>
        </w:rPr>
        <w:t>Content</w:t>
      </w:r>
      <w:r w:rsidRPr="00C71340">
        <w:rPr>
          <w:rFonts w:asciiTheme="majorHAnsi" w:hAnsiTheme="majorHAnsi" w:cstheme="majorHAnsi"/>
        </w:rPr>
        <w:t xml:space="preserve">: This on-the-job training focuses on enhancing the technical skills required to </w:t>
      </w:r>
      <w:r w:rsidR="0007588E" w:rsidRPr="00C71340">
        <w:rPr>
          <w:rFonts w:asciiTheme="majorHAnsi" w:hAnsiTheme="majorHAnsi" w:cstheme="majorHAnsi"/>
        </w:rPr>
        <w:t xml:space="preserve">integrate </w:t>
      </w:r>
      <w:proofErr w:type="spellStart"/>
      <w:r w:rsidR="0007588E" w:rsidRPr="00C71340">
        <w:rPr>
          <w:rFonts w:asciiTheme="majorHAnsi" w:hAnsiTheme="majorHAnsi" w:cstheme="majorHAnsi"/>
        </w:rPr>
        <w:t>WaPOR</w:t>
      </w:r>
      <w:proofErr w:type="spellEnd"/>
      <w:r w:rsidR="0007588E" w:rsidRPr="00C71340">
        <w:rPr>
          <w:rFonts w:asciiTheme="majorHAnsi" w:hAnsiTheme="majorHAnsi" w:cstheme="majorHAnsi"/>
        </w:rPr>
        <w:t xml:space="preserve"> Level 2 data in the National Water Information System (NWIS) and </w:t>
      </w:r>
      <w:r w:rsidR="004161AE" w:rsidRPr="00C71340">
        <w:rPr>
          <w:rFonts w:asciiTheme="majorHAnsi" w:hAnsiTheme="majorHAnsi" w:cstheme="majorHAnsi"/>
        </w:rPr>
        <w:t xml:space="preserve">evaluate groundwater dynamics </w:t>
      </w:r>
      <w:r w:rsidRPr="00C71340">
        <w:rPr>
          <w:rFonts w:asciiTheme="majorHAnsi" w:hAnsiTheme="majorHAnsi" w:cstheme="majorHAnsi"/>
        </w:rPr>
        <w:t xml:space="preserve">using FAO’s </w:t>
      </w:r>
      <w:proofErr w:type="spellStart"/>
      <w:r w:rsidRPr="00C71340">
        <w:rPr>
          <w:rFonts w:asciiTheme="majorHAnsi" w:hAnsiTheme="majorHAnsi" w:cstheme="majorHAnsi"/>
        </w:rPr>
        <w:t>WaPOR</w:t>
      </w:r>
      <w:proofErr w:type="spellEnd"/>
      <w:r w:rsidRPr="00C71340">
        <w:rPr>
          <w:rFonts w:asciiTheme="majorHAnsi" w:hAnsiTheme="majorHAnsi" w:cstheme="majorHAnsi"/>
        </w:rPr>
        <w:t xml:space="preserve"> </w:t>
      </w:r>
      <w:r w:rsidR="00BC3381" w:rsidRPr="00C71340">
        <w:rPr>
          <w:rFonts w:asciiTheme="majorHAnsi" w:hAnsiTheme="majorHAnsi" w:cstheme="majorHAnsi"/>
        </w:rPr>
        <w:t xml:space="preserve">Level 3 </w:t>
      </w:r>
      <w:r w:rsidRPr="00C71340">
        <w:rPr>
          <w:rFonts w:asciiTheme="majorHAnsi" w:hAnsiTheme="majorHAnsi" w:cstheme="majorHAnsi"/>
        </w:rPr>
        <w:t>data</w:t>
      </w:r>
      <w:r w:rsidR="008578B3" w:rsidRPr="00C71340">
        <w:rPr>
          <w:rFonts w:asciiTheme="majorHAnsi" w:hAnsiTheme="majorHAnsi" w:cstheme="majorHAnsi"/>
        </w:rPr>
        <w:t xml:space="preserve"> for both Palestine and Jordan</w:t>
      </w:r>
      <w:r w:rsidRPr="00C71340">
        <w:rPr>
          <w:rFonts w:asciiTheme="majorHAnsi" w:hAnsiTheme="majorHAnsi" w:cstheme="majorHAnsi"/>
        </w:rPr>
        <w:t>. The training will cover:</w:t>
      </w:r>
    </w:p>
    <w:p w14:paraId="6EC28C85" w14:textId="6ED884C9" w:rsidR="00C752D9" w:rsidRPr="00C71340" w:rsidRDefault="00CA567A" w:rsidP="00C752D9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C71340">
        <w:rPr>
          <w:rFonts w:asciiTheme="majorHAnsi" w:hAnsiTheme="majorHAnsi" w:cstheme="majorHAnsi"/>
          <w:b/>
          <w:bCs/>
        </w:rPr>
        <w:t xml:space="preserve">Introduction to </w:t>
      </w:r>
      <w:proofErr w:type="spellStart"/>
      <w:r w:rsidRPr="00C71340">
        <w:rPr>
          <w:rFonts w:asciiTheme="majorHAnsi" w:hAnsiTheme="majorHAnsi" w:cstheme="majorHAnsi"/>
          <w:b/>
          <w:bCs/>
        </w:rPr>
        <w:t>WaPOR</w:t>
      </w:r>
      <w:proofErr w:type="spellEnd"/>
      <w:r w:rsidRPr="00C71340">
        <w:rPr>
          <w:rFonts w:asciiTheme="majorHAnsi" w:hAnsiTheme="majorHAnsi" w:cstheme="majorHAnsi"/>
          <w:b/>
          <w:bCs/>
        </w:rPr>
        <w:t xml:space="preserve"> data and python programming</w:t>
      </w:r>
      <w:r w:rsidR="00C752D9" w:rsidRPr="00C71340">
        <w:rPr>
          <w:rFonts w:asciiTheme="majorHAnsi" w:hAnsiTheme="majorHAnsi" w:cstheme="majorHAnsi"/>
        </w:rPr>
        <w:t xml:space="preserve">: Training participants to use </w:t>
      </w:r>
      <w:proofErr w:type="spellStart"/>
      <w:r w:rsidR="00C752D9" w:rsidRPr="00C71340">
        <w:rPr>
          <w:rFonts w:asciiTheme="majorHAnsi" w:hAnsiTheme="majorHAnsi" w:cstheme="majorHAnsi"/>
        </w:rPr>
        <w:t>WaPOR</w:t>
      </w:r>
      <w:proofErr w:type="spellEnd"/>
      <w:r w:rsidR="00C752D9" w:rsidRPr="00C71340">
        <w:rPr>
          <w:rFonts w:asciiTheme="majorHAnsi" w:hAnsiTheme="majorHAnsi" w:cstheme="majorHAnsi"/>
        </w:rPr>
        <w:t xml:space="preserve"> data to map key water indicators such as precipitation, evapotranspiration, and land productivity on a seasonal basis for individual fields, </w:t>
      </w:r>
      <w:r w:rsidRPr="00C71340">
        <w:rPr>
          <w:rFonts w:asciiTheme="majorHAnsi" w:hAnsiTheme="majorHAnsi" w:cstheme="majorHAnsi"/>
        </w:rPr>
        <w:t>using python programming</w:t>
      </w:r>
      <w:r w:rsidR="00C752D9" w:rsidRPr="00C71340">
        <w:rPr>
          <w:rFonts w:asciiTheme="majorHAnsi" w:hAnsiTheme="majorHAnsi" w:cstheme="majorHAnsi"/>
        </w:rPr>
        <w:t>.</w:t>
      </w:r>
    </w:p>
    <w:p w14:paraId="294B7C67" w14:textId="4FF03F3A" w:rsidR="00CA567A" w:rsidRPr="00C71340" w:rsidRDefault="00CA567A" w:rsidP="00CA567A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C71340">
        <w:rPr>
          <w:rFonts w:asciiTheme="majorHAnsi" w:hAnsiTheme="majorHAnsi" w:cstheme="majorHAnsi"/>
          <w:b/>
          <w:bCs/>
        </w:rPr>
        <w:t>Data Validation and Analysis</w:t>
      </w:r>
      <w:r w:rsidRPr="00C71340">
        <w:rPr>
          <w:rFonts w:asciiTheme="majorHAnsi" w:hAnsiTheme="majorHAnsi" w:cstheme="majorHAnsi"/>
        </w:rPr>
        <w:t xml:space="preserve">: Participants will learn to validate remote sensing data (e.g., evapotranspiration, rainfall and groundwater use) against field data. </w:t>
      </w:r>
    </w:p>
    <w:p w14:paraId="4EB67CAB" w14:textId="2461AB47" w:rsidR="00CA567A" w:rsidRPr="00C71340" w:rsidRDefault="00CA567A" w:rsidP="00CA567A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C71340">
        <w:rPr>
          <w:rFonts w:asciiTheme="majorHAnsi" w:hAnsiTheme="majorHAnsi" w:cstheme="majorHAnsi"/>
          <w:b/>
          <w:bCs/>
        </w:rPr>
        <w:t xml:space="preserve">Integration of </w:t>
      </w:r>
      <w:proofErr w:type="spellStart"/>
      <w:r w:rsidRPr="00C71340">
        <w:rPr>
          <w:rFonts w:asciiTheme="majorHAnsi" w:hAnsiTheme="majorHAnsi" w:cstheme="majorHAnsi"/>
          <w:b/>
          <w:bCs/>
        </w:rPr>
        <w:t>WaPOR</w:t>
      </w:r>
      <w:proofErr w:type="spellEnd"/>
      <w:r w:rsidRPr="00C71340">
        <w:rPr>
          <w:rFonts w:asciiTheme="majorHAnsi" w:hAnsiTheme="majorHAnsi" w:cstheme="majorHAnsi"/>
          <w:b/>
          <w:bCs/>
        </w:rPr>
        <w:t xml:space="preserve"> in </w:t>
      </w:r>
      <w:r w:rsidR="0007588E" w:rsidRPr="00C71340">
        <w:rPr>
          <w:rFonts w:asciiTheme="majorHAnsi" w:hAnsiTheme="majorHAnsi" w:cstheme="majorHAnsi"/>
          <w:b/>
          <w:bCs/>
        </w:rPr>
        <w:t>NWIS</w:t>
      </w:r>
      <w:r w:rsidR="00D35856" w:rsidRPr="00C71340">
        <w:rPr>
          <w:rFonts w:asciiTheme="majorHAnsi" w:hAnsiTheme="majorHAnsi" w:cstheme="majorHAnsi"/>
          <w:b/>
          <w:bCs/>
        </w:rPr>
        <w:t xml:space="preserve"> (group 1)</w:t>
      </w:r>
      <w:r w:rsidRPr="00C71340">
        <w:rPr>
          <w:rFonts w:asciiTheme="majorHAnsi" w:hAnsiTheme="majorHAnsi" w:cstheme="majorHAnsi"/>
          <w:b/>
          <w:bCs/>
        </w:rPr>
        <w:t xml:space="preserve">: </w:t>
      </w:r>
      <w:r w:rsidRPr="00C71340">
        <w:rPr>
          <w:rFonts w:asciiTheme="majorHAnsi" w:hAnsiTheme="majorHAnsi" w:cstheme="majorHAnsi"/>
          <w:bCs/>
        </w:rPr>
        <w:t xml:space="preserve">Participants will learn to </w:t>
      </w:r>
      <w:r w:rsidR="008578B3" w:rsidRPr="00C71340">
        <w:rPr>
          <w:rFonts w:asciiTheme="majorHAnsi" w:hAnsiTheme="majorHAnsi" w:cstheme="majorHAnsi"/>
          <w:bCs/>
        </w:rPr>
        <w:t>aggregate key water indicators relevant for their NWIS and export the results to standard formats using python programming. Results will be compared to e</w:t>
      </w:r>
      <w:r w:rsidR="00496C98" w:rsidRPr="00C71340">
        <w:rPr>
          <w:rFonts w:asciiTheme="majorHAnsi" w:hAnsiTheme="majorHAnsi" w:cstheme="majorHAnsi"/>
          <w:bCs/>
        </w:rPr>
        <w:t xml:space="preserve">xisting methodologies and results for reporting those key water indicators. </w:t>
      </w:r>
    </w:p>
    <w:p w14:paraId="449205DB" w14:textId="77777777" w:rsidR="005436EB" w:rsidRDefault="009726E9" w:rsidP="00DE1DD2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C71340">
        <w:rPr>
          <w:rFonts w:asciiTheme="majorHAnsi" w:hAnsiTheme="majorHAnsi" w:cstheme="majorHAnsi"/>
          <w:b/>
          <w:bCs/>
        </w:rPr>
        <w:t xml:space="preserve">Irrigation </w:t>
      </w:r>
      <w:r w:rsidR="005B0706" w:rsidRPr="00C71340">
        <w:rPr>
          <w:rFonts w:asciiTheme="majorHAnsi" w:hAnsiTheme="majorHAnsi" w:cstheme="majorHAnsi"/>
          <w:b/>
          <w:bCs/>
        </w:rPr>
        <w:t xml:space="preserve">Groundwater </w:t>
      </w:r>
      <w:r w:rsidR="00BC3381" w:rsidRPr="00C71340">
        <w:rPr>
          <w:rFonts w:asciiTheme="majorHAnsi" w:hAnsiTheme="majorHAnsi" w:cstheme="majorHAnsi"/>
          <w:b/>
          <w:bCs/>
        </w:rPr>
        <w:t>Assessment</w:t>
      </w:r>
      <w:r w:rsidR="00D35856" w:rsidRPr="00C71340">
        <w:rPr>
          <w:rFonts w:asciiTheme="majorHAnsi" w:hAnsiTheme="majorHAnsi" w:cstheme="majorHAnsi"/>
          <w:b/>
          <w:bCs/>
        </w:rPr>
        <w:t xml:space="preserve"> &amp; Dashboard management (group 2)</w:t>
      </w:r>
      <w:r w:rsidR="005B0706" w:rsidRPr="00C71340">
        <w:rPr>
          <w:rFonts w:asciiTheme="majorHAnsi" w:hAnsiTheme="majorHAnsi" w:cstheme="majorHAnsi"/>
        </w:rPr>
        <w:t xml:space="preserve">: </w:t>
      </w:r>
      <w:r w:rsidR="00BC3381" w:rsidRPr="00C71340">
        <w:rPr>
          <w:rFonts w:asciiTheme="majorHAnsi" w:hAnsiTheme="majorHAnsi" w:cstheme="majorHAnsi"/>
        </w:rPr>
        <w:t>Training</w:t>
      </w:r>
      <w:r w:rsidR="005B0706" w:rsidRPr="00C71340">
        <w:rPr>
          <w:rFonts w:asciiTheme="majorHAnsi" w:hAnsiTheme="majorHAnsi" w:cstheme="majorHAnsi"/>
        </w:rPr>
        <w:t xml:space="preserve"> on </w:t>
      </w:r>
      <w:r w:rsidRPr="00C71340">
        <w:rPr>
          <w:rFonts w:asciiTheme="majorHAnsi" w:hAnsiTheme="majorHAnsi" w:cstheme="majorHAnsi"/>
        </w:rPr>
        <w:t>modelling</w:t>
      </w:r>
      <w:r w:rsidR="005B0706" w:rsidRPr="00C71340">
        <w:rPr>
          <w:rFonts w:asciiTheme="majorHAnsi" w:hAnsiTheme="majorHAnsi" w:cstheme="majorHAnsi"/>
        </w:rPr>
        <w:t xml:space="preserve"> and </w:t>
      </w:r>
      <w:proofErr w:type="spellStart"/>
      <w:r w:rsidR="005B0706" w:rsidRPr="00C71340">
        <w:rPr>
          <w:rFonts w:asciiTheme="majorHAnsi" w:hAnsiTheme="majorHAnsi" w:cstheme="majorHAnsi"/>
        </w:rPr>
        <w:t>analyzing</w:t>
      </w:r>
      <w:proofErr w:type="spellEnd"/>
      <w:r w:rsidR="005B0706" w:rsidRPr="00C71340">
        <w:rPr>
          <w:rFonts w:asciiTheme="majorHAnsi" w:hAnsiTheme="majorHAnsi" w:cstheme="majorHAnsi"/>
        </w:rPr>
        <w:t xml:space="preserve"> spatial groundwater data, including </w:t>
      </w:r>
      <w:r w:rsidR="00BC3381" w:rsidRPr="00C71340">
        <w:rPr>
          <w:rFonts w:asciiTheme="majorHAnsi" w:hAnsiTheme="majorHAnsi" w:cstheme="majorHAnsi"/>
        </w:rPr>
        <w:t xml:space="preserve">consumption </w:t>
      </w:r>
      <w:r w:rsidR="005B0706" w:rsidRPr="00C71340">
        <w:rPr>
          <w:rFonts w:asciiTheme="majorHAnsi" w:hAnsiTheme="majorHAnsi" w:cstheme="majorHAnsi"/>
        </w:rPr>
        <w:t xml:space="preserve">and </w:t>
      </w:r>
      <w:r w:rsidR="00BC3381" w:rsidRPr="00C71340">
        <w:rPr>
          <w:rFonts w:asciiTheme="majorHAnsi" w:hAnsiTheme="majorHAnsi" w:cstheme="majorHAnsi"/>
        </w:rPr>
        <w:t xml:space="preserve">recharge </w:t>
      </w:r>
      <w:r w:rsidR="005B0706" w:rsidRPr="00C71340">
        <w:rPr>
          <w:rFonts w:asciiTheme="majorHAnsi" w:hAnsiTheme="majorHAnsi" w:cstheme="majorHAnsi"/>
        </w:rPr>
        <w:t xml:space="preserve">rates, with a focus on identifying areas of water stress and </w:t>
      </w:r>
      <w:r w:rsidR="00DF4524" w:rsidRPr="00C71340">
        <w:rPr>
          <w:rFonts w:asciiTheme="majorHAnsi" w:hAnsiTheme="majorHAnsi" w:cstheme="majorHAnsi"/>
        </w:rPr>
        <w:t xml:space="preserve">maybe </w:t>
      </w:r>
      <w:r w:rsidR="005B0706" w:rsidRPr="00C71340">
        <w:rPr>
          <w:rFonts w:asciiTheme="majorHAnsi" w:hAnsiTheme="majorHAnsi" w:cstheme="majorHAnsi"/>
        </w:rPr>
        <w:t>unregistered groundwater usage.</w:t>
      </w:r>
      <w:r w:rsidRPr="00C71340">
        <w:rPr>
          <w:rFonts w:asciiTheme="majorHAnsi" w:hAnsiTheme="majorHAnsi" w:cstheme="majorHAnsi"/>
        </w:rPr>
        <w:t xml:space="preserve"> In addition, generate seasonal</w:t>
      </w:r>
      <w:r w:rsidR="00C752D9" w:rsidRPr="00C71340">
        <w:rPr>
          <w:rFonts w:asciiTheme="majorHAnsi" w:hAnsiTheme="majorHAnsi" w:cstheme="majorHAnsi"/>
        </w:rPr>
        <w:t xml:space="preserve">, </w:t>
      </w:r>
      <w:r w:rsidRPr="00C71340">
        <w:rPr>
          <w:rFonts w:asciiTheme="majorHAnsi" w:hAnsiTheme="majorHAnsi" w:cstheme="majorHAnsi"/>
        </w:rPr>
        <w:t>monthly</w:t>
      </w:r>
      <w:r w:rsidR="00C752D9" w:rsidRPr="00C71340">
        <w:rPr>
          <w:rFonts w:asciiTheme="majorHAnsi" w:hAnsiTheme="majorHAnsi" w:cstheme="majorHAnsi"/>
        </w:rPr>
        <w:t xml:space="preserve"> and annual</w:t>
      </w:r>
      <w:r w:rsidRPr="00C71340">
        <w:rPr>
          <w:rFonts w:asciiTheme="majorHAnsi" w:hAnsiTheme="majorHAnsi" w:cstheme="majorHAnsi"/>
        </w:rPr>
        <w:t xml:space="preserve"> time-series reports</w:t>
      </w:r>
      <w:r w:rsidR="00D35856" w:rsidRPr="00C71340">
        <w:rPr>
          <w:rFonts w:asciiTheme="majorHAnsi" w:hAnsiTheme="majorHAnsi" w:cstheme="majorHAnsi"/>
          <w:b/>
          <w:bCs/>
        </w:rPr>
        <w:t>.</w:t>
      </w:r>
      <w:r w:rsidR="00D35856" w:rsidRPr="00C71340">
        <w:rPr>
          <w:rFonts w:asciiTheme="majorHAnsi" w:hAnsiTheme="majorHAnsi" w:cstheme="majorHAnsi"/>
        </w:rPr>
        <w:t xml:space="preserve"> </w:t>
      </w:r>
      <w:r w:rsidR="005B0706" w:rsidRPr="00C71340">
        <w:rPr>
          <w:rFonts w:asciiTheme="majorHAnsi" w:hAnsiTheme="majorHAnsi" w:cstheme="majorHAnsi"/>
        </w:rPr>
        <w:t xml:space="preserve">Training on </w:t>
      </w:r>
      <w:r w:rsidR="00FF28DF" w:rsidRPr="00C71340">
        <w:rPr>
          <w:rFonts w:asciiTheme="majorHAnsi" w:hAnsiTheme="majorHAnsi" w:cstheme="majorHAnsi"/>
        </w:rPr>
        <w:t>co-</w:t>
      </w:r>
      <w:r w:rsidR="005B0706" w:rsidRPr="00C71340">
        <w:rPr>
          <w:rFonts w:asciiTheme="majorHAnsi" w:hAnsiTheme="majorHAnsi" w:cstheme="majorHAnsi"/>
        </w:rPr>
        <w:t>developing and maintaining an interactive dashboard that integrates data visualizations, including maps and time-series graphs, for stakeholders to monitor water and land productivity as well as</w:t>
      </w:r>
      <w:r w:rsidRPr="00C71340">
        <w:rPr>
          <w:rFonts w:asciiTheme="majorHAnsi" w:hAnsiTheme="majorHAnsi" w:cstheme="majorHAnsi"/>
        </w:rPr>
        <w:t xml:space="preserve"> indicators on</w:t>
      </w:r>
      <w:r w:rsidR="005B0706" w:rsidRPr="00C71340">
        <w:rPr>
          <w:rFonts w:asciiTheme="majorHAnsi" w:hAnsiTheme="majorHAnsi" w:cstheme="majorHAnsi"/>
        </w:rPr>
        <w:t xml:space="preserve"> groundwater</w:t>
      </w:r>
      <w:r w:rsidRPr="00C71340">
        <w:rPr>
          <w:rFonts w:asciiTheme="majorHAnsi" w:hAnsiTheme="majorHAnsi" w:cstheme="majorHAnsi"/>
        </w:rPr>
        <w:t xml:space="preserve"> dynamics</w:t>
      </w:r>
      <w:r w:rsidR="005B0706" w:rsidRPr="00C71340">
        <w:rPr>
          <w:rFonts w:asciiTheme="majorHAnsi" w:hAnsiTheme="majorHAnsi" w:cstheme="majorHAnsi"/>
        </w:rPr>
        <w:t>.</w:t>
      </w:r>
      <w:r w:rsidR="00D35856" w:rsidRPr="00C71340">
        <w:rPr>
          <w:rFonts w:asciiTheme="majorHAnsi" w:hAnsiTheme="majorHAnsi" w:cstheme="majorHAnsi"/>
        </w:rPr>
        <w:t xml:space="preserve"> </w:t>
      </w:r>
    </w:p>
    <w:p w14:paraId="1C4B31AC" w14:textId="16D355DF" w:rsidR="00496C98" w:rsidRPr="00C71340" w:rsidRDefault="00496C98" w:rsidP="00DE1DD2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C71340">
        <w:rPr>
          <w:rFonts w:asciiTheme="majorHAnsi" w:hAnsiTheme="majorHAnsi" w:cstheme="majorHAnsi"/>
          <w:b/>
          <w:bCs/>
          <w:i/>
        </w:rPr>
        <w:t>Optional</w:t>
      </w:r>
      <w:r w:rsidRPr="00C71340">
        <w:rPr>
          <w:rFonts w:asciiTheme="majorHAnsi" w:hAnsiTheme="majorHAnsi" w:cstheme="majorHAnsi"/>
          <w:i/>
        </w:rPr>
        <w:t xml:space="preserve">: </w:t>
      </w:r>
      <w:r w:rsidR="00D35856" w:rsidRPr="00C71340">
        <w:rPr>
          <w:rFonts w:asciiTheme="majorHAnsi" w:hAnsiTheme="majorHAnsi" w:cstheme="majorHAnsi"/>
          <w:i/>
        </w:rPr>
        <w:t>Water Productivity Assessments</w:t>
      </w:r>
      <w:r w:rsidR="00D35856" w:rsidRPr="00C71340">
        <w:rPr>
          <w:rFonts w:asciiTheme="majorHAnsi" w:hAnsiTheme="majorHAnsi" w:cstheme="majorHAnsi"/>
        </w:rPr>
        <w:t xml:space="preserve">: Training participants to use </w:t>
      </w:r>
      <w:proofErr w:type="spellStart"/>
      <w:r w:rsidR="00D35856" w:rsidRPr="00C71340">
        <w:rPr>
          <w:rFonts w:asciiTheme="majorHAnsi" w:hAnsiTheme="majorHAnsi" w:cstheme="majorHAnsi"/>
        </w:rPr>
        <w:t>WaPOR</w:t>
      </w:r>
      <w:proofErr w:type="spellEnd"/>
      <w:r w:rsidR="00D35856" w:rsidRPr="00C71340">
        <w:rPr>
          <w:rFonts w:asciiTheme="majorHAnsi" w:hAnsiTheme="majorHAnsi" w:cstheme="majorHAnsi"/>
        </w:rPr>
        <w:t xml:space="preserve"> data to map key water indicators such as precipitation, evapotranspiration, and land productivity on a seasonal basis for individual fields.</w:t>
      </w:r>
      <w:r w:rsidRPr="00C71340">
        <w:rPr>
          <w:rFonts w:asciiTheme="majorHAnsi" w:hAnsiTheme="majorHAnsi" w:cstheme="majorHAnsi"/>
        </w:rPr>
        <w:t xml:space="preserve"> </w:t>
      </w:r>
    </w:p>
    <w:p w14:paraId="314424BF" w14:textId="716EEE0B" w:rsidR="005B0706" w:rsidRPr="00C71340" w:rsidRDefault="005B0706" w:rsidP="005B0706">
      <w:pPr>
        <w:rPr>
          <w:rFonts w:asciiTheme="majorHAnsi" w:hAnsiTheme="majorHAnsi" w:cstheme="majorHAnsi"/>
        </w:rPr>
      </w:pPr>
      <w:r w:rsidRPr="00C71340">
        <w:rPr>
          <w:rFonts w:asciiTheme="majorHAnsi" w:hAnsiTheme="majorHAnsi" w:cstheme="majorHAnsi"/>
        </w:rPr>
        <w:t xml:space="preserve">The aim is to empower local stakeholders to independently </w:t>
      </w:r>
      <w:r w:rsidR="00D35856" w:rsidRPr="00C71340">
        <w:rPr>
          <w:rFonts w:asciiTheme="majorHAnsi" w:hAnsiTheme="majorHAnsi" w:cstheme="majorHAnsi"/>
        </w:rPr>
        <w:t xml:space="preserve">access </w:t>
      </w:r>
      <w:proofErr w:type="spellStart"/>
      <w:r w:rsidR="00D35856" w:rsidRPr="00C71340">
        <w:rPr>
          <w:rFonts w:asciiTheme="majorHAnsi" w:hAnsiTheme="majorHAnsi" w:cstheme="majorHAnsi"/>
        </w:rPr>
        <w:t>WaPOR</w:t>
      </w:r>
      <w:proofErr w:type="spellEnd"/>
      <w:r w:rsidR="00D35856" w:rsidRPr="00C71340">
        <w:rPr>
          <w:rFonts w:asciiTheme="majorHAnsi" w:hAnsiTheme="majorHAnsi" w:cstheme="majorHAnsi"/>
        </w:rPr>
        <w:t xml:space="preserve"> data, </w:t>
      </w:r>
      <w:r w:rsidRPr="00C71340">
        <w:rPr>
          <w:rFonts w:asciiTheme="majorHAnsi" w:hAnsiTheme="majorHAnsi" w:cstheme="majorHAnsi"/>
        </w:rPr>
        <w:t>run analyses, update data</w:t>
      </w:r>
      <w:r w:rsidR="00D35856" w:rsidRPr="00C71340">
        <w:rPr>
          <w:rFonts w:asciiTheme="majorHAnsi" w:hAnsiTheme="majorHAnsi" w:cstheme="majorHAnsi"/>
        </w:rPr>
        <w:t xml:space="preserve"> and visualise the results</w:t>
      </w:r>
      <w:r w:rsidRPr="00C71340">
        <w:rPr>
          <w:rFonts w:asciiTheme="majorHAnsi" w:hAnsiTheme="majorHAnsi" w:cstheme="majorHAnsi"/>
        </w:rPr>
        <w:t>.</w:t>
      </w:r>
    </w:p>
    <w:p w14:paraId="1E426EBB" w14:textId="0227FF7D" w:rsidR="005B0706" w:rsidRPr="005B0706" w:rsidRDefault="005B0706" w:rsidP="005B0706">
      <w:pPr>
        <w:rPr>
          <w:rFonts w:asciiTheme="majorHAnsi" w:hAnsiTheme="majorHAnsi" w:cstheme="majorHAnsi"/>
        </w:rPr>
      </w:pPr>
      <w:r w:rsidRPr="005B0706">
        <w:rPr>
          <w:rFonts w:asciiTheme="majorHAnsi" w:hAnsiTheme="majorHAnsi" w:cstheme="majorHAnsi"/>
          <w:b/>
          <w:bCs/>
        </w:rPr>
        <w:t>Expected Implementation</w:t>
      </w:r>
      <w:r w:rsidRPr="005B0706">
        <w:rPr>
          <w:rFonts w:asciiTheme="majorHAnsi" w:hAnsiTheme="majorHAnsi" w:cstheme="majorHAnsi"/>
        </w:rPr>
        <w:t xml:space="preserve">: </w:t>
      </w:r>
      <w:r w:rsidR="00E23B72">
        <w:rPr>
          <w:rFonts w:asciiTheme="majorHAnsi" w:hAnsiTheme="majorHAnsi" w:cstheme="majorHAnsi"/>
        </w:rPr>
        <w:t>March</w:t>
      </w:r>
      <w:r w:rsidR="00FF28DF">
        <w:rPr>
          <w:rFonts w:asciiTheme="majorHAnsi" w:hAnsiTheme="majorHAnsi" w:cstheme="majorHAnsi"/>
        </w:rPr>
        <w:t xml:space="preserve"> 202</w:t>
      </w:r>
      <w:r w:rsidR="00C752D9">
        <w:rPr>
          <w:rFonts w:asciiTheme="majorHAnsi" w:hAnsiTheme="majorHAnsi" w:cstheme="majorHAnsi"/>
        </w:rPr>
        <w:t>5</w:t>
      </w:r>
      <w:r w:rsidRPr="005B0706">
        <w:rPr>
          <w:rFonts w:asciiTheme="majorHAnsi" w:hAnsiTheme="majorHAnsi" w:cstheme="majorHAnsi"/>
        </w:rPr>
        <w:t xml:space="preserve"> to </w:t>
      </w:r>
      <w:r w:rsidR="00E23B72">
        <w:rPr>
          <w:rFonts w:asciiTheme="majorHAnsi" w:hAnsiTheme="majorHAnsi" w:cstheme="majorHAnsi"/>
        </w:rPr>
        <w:t>June</w:t>
      </w:r>
      <w:r w:rsidRPr="005B0706">
        <w:rPr>
          <w:rFonts w:asciiTheme="majorHAnsi" w:hAnsiTheme="majorHAnsi" w:cstheme="majorHAnsi"/>
        </w:rPr>
        <w:t xml:space="preserve"> 2025</w:t>
      </w:r>
      <w:r w:rsidR="00D35856">
        <w:rPr>
          <w:rFonts w:asciiTheme="majorHAnsi" w:hAnsiTheme="majorHAnsi" w:cstheme="majorHAnsi"/>
        </w:rPr>
        <w:t xml:space="preserve"> (different timelines for Jordan and Palestine)</w:t>
      </w:r>
    </w:p>
    <w:p w14:paraId="759ED060" w14:textId="08431B9F" w:rsidR="005B0706" w:rsidRPr="005B0706" w:rsidRDefault="005B0706" w:rsidP="005B0706">
      <w:pPr>
        <w:rPr>
          <w:rFonts w:asciiTheme="majorHAnsi" w:hAnsiTheme="majorHAnsi" w:cstheme="majorHAnsi"/>
        </w:rPr>
      </w:pPr>
      <w:r w:rsidRPr="005B0706">
        <w:rPr>
          <w:rFonts w:asciiTheme="majorHAnsi" w:hAnsiTheme="majorHAnsi" w:cstheme="majorHAnsi"/>
          <w:b/>
          <w:bCs/>
        </w:rPr>
        <w:t>Location</w:t>
      </w:r>
      <w:r w:rsidRPr="005B0706">
        <w:rPr>
          <w:rFonts w:asciiTheme="majorHAnsi" w:hAnsiTheme="majorHAnsi" w:cstheme="majorHAnsi"/>
        </w:rPr>
        <w:t xml:space="preserve">: Online </w:t>
      </w:r>
    </w:p>
    <w:p w14:paraId="68ACE7E9" w14:textId="3AF652CD" w:rsidR="005B0706" w:rsidRPr="005B0706" w:rsidRDefault="005B0706" w:rsidP="005B0706">
      <w:pPr>
        <w:rPr>
          <w:rFonts w:asciiTheme="majorHAnsi" w:hAnsiTheme="majorHAnsi" w:cstheme="majorHAnsi"/>
        </w:rPr>
      </w:pPr>
      <w:r w:rsidRPr="005B0706">
        <w:rPr>
          <w:rFonts w:asciiTheme="majorHAnsi" w:hAnsiTheme="majorHAnsi" w:cstheme="majorHAnsi"/>
          <w:b/>
          <w:bCs/>
        </w:rPr>
        <w:t>Trainer</w:t>
      </w:r>
      <w:r w:rsidRPr="005B0706">
        <w:rPr>
          <w:rFonts w:asciiTheme="majorHAnsi" w:hAnsiTheme="majorHAnsi" w:cstheme="majorHAnsi"/>
        </w:rPr>
        <w:t xml:space="preserve">: </w:t>
      </w:r>
      <w:proofErr w:type="spellStart"/>
      <w:r w:rsidRPr="005B0706">
        <w:rPr>
          <w:rFonts w:asciiTheme="majorHAnsi" w:hAnsiTheme="majorHAnsi" w:cstheme="majorHAnsi"/>
        </w:rPr>
        <w:t>Dr.</w:t>
      </w:r>
      <w:proofErr w:type="spellEnd"/>
      <w:r w:rsidRPr="005B0706">
        <w:rPr>
          <w:rFonts w:asciiTheme="majorHAnsi" w:hAnsiTheme="majorHAnsi" w:cstheme="majorHAnsi"/>
        </w:rPr>
        <w:t xml:space="preserve"> Ahmed El-Naggar</w:t>
      </w:r>
      <w:r w:rsidR="005436EB" w:rsidRPr="00E23B72">
        <w:rPr>
          <w:rFonts w:asciiTheme="majorHAnsi" w:hAnsiTheme="majorHAnsi" w:cstheme="majorHAnsi"/>
        </w:rPr>
        <w:t>, Solomon Seyoum</w:t>
      </w:r>
      <w:r w:rsidRPr="005B0706">
        <w:rPr>
          <w:rFonts w:asciiTheme="majorHAnsi" w:hAnsiTheme="majorHAnsi" w:cstheme="majorHAnsi"/>
        </w:rPr>
        <w:t xml:space="preserve">, </w:t>
      </w:r>
      <w:r w:rsidR="00E23B72" w:rsidRPr="00E23B72">
        <w:rPr>
          <w:rFonts w:asciiTheme="majorHAnsi" w:hAnsiTheme="majorHAnsi" w:cstheme="majorHAnsi"/>
        </w:rPr>
        <w:t xml:space="preserve">Suzan Dehati </w:t>
      </w:r>
      <w:r w:rsidR="00B72F26">
        <w:rPr>
          <w:rFonts w:asciiTheme="majorHAnsi" w:hAnsiTheme="majorHAnsi" w:cstheme="majorHAnsi"/>
        </w:rPr>
        <w:t xml:space="preserve">and </w:t>
      </w:r>
      <w:r w:rsidR="00E23B72" w:rsidRPr="00E23B72">
        <w:rPr>
          <w:rFonts w:asciiTheme="majorHAnsi" w:hAnsiTheme="majorHAnsi" w:cstheme="majorHAnsi"/>
        </w:rPr>
        <w:t xml:space="preserve">Marloes Mul </w:t>
      </w:r>
      <w:r w:rsidR="00913A6A" w:rsidRPr="00913A6A">
        <w:rPr>
          <w:rFonts w:asciiTheme="majorHAnsi" w:hAnsiTheme="majorHAnsi" w:cstheme="majorHAnsi"/>
        </w:rPr>
        <w:t>– IHE Delft Institute for Water Education</w:t>
      </w:r>
    </w:p>
    <w:p w14:paraId="4C49CB5B" w14:textId="77777777" w:rsidR="005B0706" w:rsidRPr="005B0706" w:rsidRDefault="00454BE5" w:rsidP="005B070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197B8E46">
          <v:rect id="_x0000_i1025" style="width:0;height:1.5pt" o:hralign="center" o:hrstd="t" o:hr="t" fillcolor="#a0a0a0" stroked="f"/>
        </w:pict>
      </w:r>
    </w:p>
    <w:p w14:paraId="460B499C" w14:textId="77777777" w:rsidR="005B0706" w:rsidRPr="005B0706" w:rsidRDefault="005B0706" w:rsidP="005B0706">
      <w:pPr>
        <w:rPr>
          <w:rFonts w:asciiTheme="majorHAnsi" w:hAnsiTheme="majorHAnsi" w:cstheme="majorHAnsi"/>
          <w:b/>
          <w:bCs/>
        </w:rPr>
      </w:pPr>
      <w:r w:rsidRPr="005B0706">
        <w:rPr>
          <w:rFonts w:asciiTheme="majorHAnsi" w:hAnsiTheme="majorHAnsi" w:cstheme="majorHAnsi"/>
          <w:b/>
          <w:bCs/>
        </w:rPr>
        <w:t>Motivation</w:t>
      </w:r>
    </w:p>
    <w:p w14:paraId="3A13C090" w14:textId="39BFD77A" w:rsidR="00E81F23" w:rsidRPr="00E81F23" w:rsidRDefault="00D35856" w:rsidP="00E81F2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region</w:t>
      </w:r>
      <w:r w:rsidR="00E23B72">
        <w:rPr>
          <w:rFonts w:asciiTheme="majorHAnsi" w:hAnsiTheme="majorHAnsi" w:cstheme="majorHAnsi"/>
        </w:rPr>
        <w:t xml:space="preserve"> </w:t>
      </w:r>
      <w:r w:rsidR="00E81F23" w:rsidRPr="00E81F23">
        <w:rPr>
          <w:rFonts w:asciiTheme="majorHAnsi" w:hAnsiTheme="majorHAnsi" w:cstheme="majorHAnsi"/>
        </w:rPr>
        <w:t xml:space="preserve">faces significant challenges related to water scarcity, groundwater depletion, and the need for sustainable water resource management. </w:t>
      </w:r>
      <w:r w:rsidR="00E23B72" w:rsidRPr="00E23B72">
        <w:rPr>
          <w:rFonts w:asciiTheme="majorHAnsi" w:hAnsiTheme="majorHAnsi" w:cstheme="majorHAnsi"/>
          <w:b/>
        </w:rPr>
        <w:t xml:space="preserve">The </w:t>
      </w:r>
      <w:proofErr w:type="spellStart"/>
      <w:r w:rsidR="00E23B72" w:rsidRPr="00E23B72">
        <w:rPr>
          <w:rFonts w:asciiTheme="majorHAnsi" w:hAnsiTheme="majorHAnsi" w:cstheme="majorHAnsi"/>
          <w:b/>
        </w:rPr>
        <w:t>WaPOR</w:t>
      </w:r>
      <w:proofErr w:type="spellEnd"/>
      <w:r w:rsidR="00E23B72" w:rsidRPr="00E23B72">
        <w:rPr>
          <w:rFonts w:asciiTheme="majorHAnsi" w:hAnsiTheme="majorHAnsi" w:cstheme="majorHAnsi"/>
          <w:b/>
        </w:rPr>
        <w:t xml:space="preserve"> project</w:t>
      </w:r>
      <w:r w:rsidR="00E23B72" w:rsidRPr="00E23B72">
        <w:rPr>
          <w:rFonts w:asciiTheme="majorHAnsi" w:hAnsiTheme="majorHAnsi" w:cstheme="majorHAnsi"/>
        </w:rPr>
        <w:t xml:space="preserve"> seeks to tackle these challenges by equipping local stakeholders with </w:t>
      </w:r>
      <w:r w:rsidR="00E45CBF">
        <w:rPr>
          <w:rFonts w:asciiTheme="majorHAnsi" w:hAnsiTheme="majorHAnsi" w:cstheme="majorHAnsi"/>
        </w:rPr>
        <w:t xml:space="preserve">skills to access and analyse </w:t>
      </w:r>
      <w:r w:rsidR="00E23B72" w:rsidRPr="00E23B72">
        <w:rPr>
          <w:rFonts w:asciiTheme="majorHAnsi" w:hAnsiTheme="majorHAnsi" w:cstheme="majorHAnsi"/>
        </w:rPr>
        <w:t xml:space="preserve">remote sensing data to </w:t>
      </w:r>
      <w:r w:rsidR="00D2708C">
        <w:rPr>
          <w:rFonts w:asciiTheme="majorHAnsi" w:hAnsiTheme="majorHAnsi" w:cstheme="majorHAnsi"/>
        </w:rPr>
        <w:t xml:space="preserve">support national water resources planning and </w:t>
      </w:r>
      <w:r w:rsidR="00E23B72" w:rsidRPr="00E23B72">
        <w:rPr>
          <w:rFonts w:asciiTheme="majorHAnsi" w:hAnsiTheme="majorHAnsi" w:cstheme="majorHAnsi"/>
        </w:rPr>
        <w:t>enhance groundwater resource assessment at both field and regional scales.</w:t>
      </w:r>
    </w:p>
    <w:p w14:paraId="22CF1474" w14:textId="77777777" w:rsidR="00E81F23" w:rsidRPr="00B72F26" w:rsidRDefault="00B72F26" w:rsidP="00E81F23">
      <w:pPr>
        <w:rPr>
          <w:rFonts w:asciiTheme="majorHAnsi" w:hAnsiTheme="majorHAnsi" w:cstheme="majorHAnsi"/>
          <w:b/>
        </w:rPr>
      </w:pPr>
      <w:r w:rsidRPr="00B72F26">
        <w:rPr>
          <w:rFonts w:asciiTheme="majorHAnsi" w:hAnsiTheme="majorHAnsi" w:cstheme="majorHAnsi"/>
          <w:b/>
        </w:rPr>
        <w:t>The objectives of the training are:</w:t>
      </w:r>
    </w:p>
    <w:p w14:paraId="6FACFDF1" w14:textId="0643FD54" w:rsidR="00440E7B" w:rsidRPr="00D2708C" w:rsidRDefault="00440E7B" w:rsidP="00E81F23">
      <w:pPr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Gain</w:t>
      </w:r>
      <w:r w:rsidRPr="00440E7B">
        <w:rPr>
          <w:rFonts w:asciiTheme="majorHAnsi" w:hAnsiTheme="majorHAnsi" w:cstheme="majorHAnsi"/>
        </w:rPr>
        <w:t xml:space="preserve"> foundational knowledge of remote sensing technologies, </w:t>
      </w:r>
      <w:r w:rsidR="00D2708C">
        <w:rPr>
          <w:rFonts w:asciiTheme="majorHAnsi" w:hAnsiTheme="majorHAnsi" w:cstheme="majorHAnsi"/>
        </w:rPr>
        <w:t xml:space="preserve">specifically </w:t>
      </w:r>
      <w:proofErr w:type="spellStart"/>
      <w:r w:rsidRPr="00440E7B">
        <w:rPr>
          <w:rFonts w:asciiTheme="majorHAnsi" w:hAnsiTheme="majorHAnsi" w:cstheme="majorHAnsi"/>
          <w:b/>
        </w:rPr>
        <w:t>WaPOR</w:t>
      </w:r>
      <w:proofErr w:type="spellEnd"/>
      <w:r w:rsidRPr="00440E7B">
        <w:rPr>
          <w:rFonts w:asciiTheme="majorHAnsi" w:hAnsiTheme="majorHAnsi" w:cstheme="majorHAnsi"/>
          <w:b/>
        </w:rPr>
        <w:t xml:space="preserve"> </w:t>
      </w:r>
      <w:r w:rsidR="00D2708C" w:rsidRPr="00D2708C">
        <w:rPr>
          <w:rFonts w:asciiTheme="majorHAnsi" w:hAnsiTheme="majorHAnsi" w:cstheme="majorHAnsi"/>
        </w:rPr>
        <w:t xml:space="preserve">data for water and </w:t>
      </w:r>
      <w:r w:rsidRPr="00D2708C">
        <w:rPr>
          <w:rFonts w:asciiTheme="majorHAnsi" w:hAnsiTheme="majorHAnsi" w:cstheme="majorHAnsi"/>
        </w:rPr>
        <w:t>agricultural management.</w:t>
      </w:r>
    </w:p>
    <w:p w14:paraId="7D506C32" w14:textId="6E54E8DA" w:rsidR="00E81F23" w:rsidRPr="00E81F23" w:rsidRDefault="00E81F23" w:rsidP="00E81F23">
      <w:pPr>
        <w:numPr>
          <w:ilvl w:val="0"/>
          <w:numId w:val="3"/>
        </w:numPr>
        <w:rPr>
          <w:rFonts w:asciiTheme="majorHAnsi" w:hAnsiTheme="majorHAnsi" w:cstheme="majorHAnsi"/>
        </w:rPr>
      </w:pPr>
      <w:bookmarkStart w:id="0" w:name="_Hlk189739788"/>
      <w:r w:rsidRPr="00E81F23">
        <w:rPr>
          <w:rFonts w:asciiTheme="majorHAnsi" w:hAnsiTheme="majorHAnsi" w:cstheme="majorHAnsi"/>
        </w:rPr>
        <w:t xml:space="preserve">Equip local stakeholders </w:t>
      </w:r>
      <w:bookmarkEnd w:id="0"/>
      <w:r w:rsidRPr="00E81F23">
        <w:rPr>
          <w:rFonts w:asciiTheme="majorHAnsi" w:hAnsiTheme="majorHAnsi" w:cstheme="majorHAnsi"/>
        </w:rPr>
        <w:t xml:space="preserve">with the technical skills to </w:t>
      </w:r>
      <w:r w:rsidR="00D2708C">
        <w:rPr>
          <w:rFonts w:asciiTheme="majorHAnsi" w:hAnsiTheme="majorHAnsi" w:cstheme="majorHAnsi"/>
        </w:rPr>
        <w:t xml:space="preserve">access, compile and </w:t>
      </w:r>
      <w:proofErr w:type="spellStart"/>
      <w:r w:rsidRPr="00E81F23">
        <w:rPr>
          <w:rFonts w:asciiTheme="majorHAnsi" w:hAnsiTheme="majorHAnsi" w:cstheme="majorHAnsi"/>
        </w:rPr>
        <w:t>analyze</w:t>
      </w:r>
      <w:proofErr w:type="spellEnd"/>
      <w:r w:rsidRPr="00E81F23">
        <w:rPr>
          <w:rFonts w:asciiTheme="majorHAnsi" w:hAnsiTheme="majorHAnsi" w:cstheme="majorHAnsi"/>
        </w:rPr>
        <w:t xml:space="preserve"> </w:t>
      </w:r>
      <w:proofErr w:type="spellStart"/>
      <w:r w:rsidRPr="00E81F23">
        <w:rPr>
          <w:rFonts w:asciiTheme="majorHAnsi" w:hAnsiTheme="majorHAnsi" w:cstheme="majorHAnsi"/>
          <w:b/>
          <w:bCs/>
        </w:rPr>
        <w:t>WaPOR</w:t>
      </w:r>
      <w:proofErr w:type="spellEnd"/>
      <w:r w:rsidRPr="00E81F23">
        <w:rPr>
          <w:rFonts w:asciiTheme="majorHAnsi" w:hAnsiTheme="majorHAnsi" w:cstheme="majorHAnsi"/>
          <w:b/>
          <w:bCs/>
        </w:rPr>
        <w:t xml:space="preserve"> data</w:t>
      </w:r>
      <w:r w:rsidRPr="00E81F23">
        <w:rPr>
          <w:rFonts w:asciiTheme="majorHAnsi" w:hAnsiTheme="majorHAnsi" w:cstheme="majorHAnsi"/>
        </w:rPr>
        <w:t xml:space="preserve">, </w:t>
      </w:r>
      <w:r w:rsidR="00D2708C">
        <w:rPr>
          <w:rFonts w:asciiTheme="majorHAnsi" w:hAnsiTheme="majorHAnsi" w:cstheme="majorHAnsi"/>
        </w:rPr>
        <w:t xml:space="preserve">using open access programming tools such as </w:t>
      </w:r>
      <w:r w:rsidR="00D2708C" w:rsidRPr="00D2708C">
        <w:rPr>
          <w:rFonts w:asciiTheme="majorHAnsi" w:hAnsiTheme="majorHAnsi" w:cstheme="majorHAnsi"/>
          <w:b/>
        </w:rPr>
        <w:t>python</w:t>
      </w:r>
      <w:r w:rsidR="00D2708C">
        <w:rPr>
          <w:rFonts w:asciiTheme="majorHAnsi" w:hAnsiTheme="majorHAnsi" w:cstheme="majorHAnsi"/>
        </w:rPr>
        <w:t xml:space="preserve"> and </w:t>
      </w:r>
      <w:r w:rsidR="00D2708C" w:rsidRPr="00D2708C">
        <w:rPr>
          <w:rFonts w:asciiTheme="majorHAnsi" w:hAnsiTheme="majorHAnsi" w:cstheme="majorHAnsi"/>
          <w:b/>
        </w:rPr>
        <w:t>Google Earth Engine</w:t>
      </w:r>
      <w:r w:rsidR="00D2708C">
        <w:rPr>
          <w:rFonts w:asciiTheme="majorHAnsi" w:hAnsiTheme="majorHAnsi" w:cstheme="majorHAnsi"/>
        </w:rPr>
        <w:t xml:space="preserve">. </w:t>
      </w:r>
    </w:p>
    <w:p w14:paraId="2F1DFB82" w14:textId="77777777" w:rsidR="00D2708C" w:rsidRPr="00E81F23" w:rsidRDefault="00D2708C" w:rsidP="00D2708C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E81F23">
        <w:rPr>
          <w:rFonts w:asciiTheme="majorHAnsi" w:hAnsiTheme="majorHAnsi" w:cstheme="majorHAnsi"/>
        </w:rPr>
        <w:t xml:space="preserve">Build capacity for </w:t>
      </w:r>
      <w:r w:rsidRPr="00E81F23">
        <w:rPr>
          <w:rFonts w:asciiTheme="majorHAnsi" w:hAnsiTheme="majorHAnsi" w:cstheme="majorHAnsi"/>
          <w:b/>
          <w:bCs/>
        </w:rPr>
        <w:t>data validation</w:t>
      </w:r>
      <w:r w:rsidRPr="00E81F23">
        <w:rPr>
          <w:rFonts w:asciiTheme="majorHAnsi" w:hAnsiTheme="majorHAnsi" w:cstheme="majorHAnsi"/>
        </w:rPr>
        <w:t xml:space="preserve"> through comparison of remote sensing data with ground data, ensuring accuracy and reliability in water resource assessments.</w:t>
      </w:r>
    </w:p>
    <w:p w14:paraId="1C16BB59" w14:textId="301C07D4" w:rsidR="00D2708C" w:rsidRDefault="00D2708C" w:rsidP="00D2708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For the technical team on the </w:t>
      </w:r>
      <w:proofErr w:type="spellStart"/>
      <w:r>
        <w:rPr>
          <w:rFonts w:asciiTheme="majorHAnsi" w:hAnsiTheme="majorHAnsi" w:cstheme="majorHAnsi"/>
        </w:rPr>
        <w:t>WaPOR</w:t>
      </w:r>
      <w:proofErr w:type="spellEnd"/>
      <w:r>
        <w:rPr>
          <w:rFonts w:asciiTheme="majorHAnsi" w:hAnsiTheme="majorHAnsi" w:cstheme="majorHAnsi"/>
        </w:rPr>
        <w:t xml:space="preserve"> integration in NWIS:</w:t>
      </w:r>
    </w:p>
    <w:p w14:paraId="6B580F90" w14:textId="311FB0D4" w:rsidR="00D2708C" w:rsidRDefault="00D2708C" w:rsidP="00E81F23">
      <w:pPr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Enable the technical team to access and process </w:t>
      </w:r>
      <w:proofErr w:type="spellStart"/>
      <w:r>
        <w:rPr>
          <w:rFonts w:asciiTheme="majorHAnsi" w:hAnsiTheme="majorHAnsi" w:cstheme="majorHAnsi"/>
        </w:rPr>
        <w:t>WaPOR</w:t>
      </w:r>
      <w:proofErr w:type="spellEnd"/>
      <w:r>
        <w:rPr>
          <w:rFonts w:asciiTheme="majorHAnsi" w:hAnsiTheme="majorHAnsi" w:cstheme="majorHAnsi"/>
        </w:rPr>
        <w:t xml:space="preserve"> data to calculate key water indicators relevant for the NWIS and export them to the relevant formats</w:t>
      </w:r>
    </w:p>
    <w:p w14:paraId="27CF73CF" w14:textId="195E9048" w:rsidR="00D2708C" w:rsidRDefault="00D2708C" w:rsidP="00D2708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For the technical team with focus on GW: </w:t>
      </w:r>
    </w:p>
    <w:p w14:paraId="1153B400" w14:textId="47ADA321" w:rsidR="00E81F23" w:rsidRPr="00E81F23" w:rsidRDefault="00E81F23" w:rsidP="00E81F23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E81F23">
        <w:rPr>
          <w:rFonts w:asciiTheme="majorHAnsi" w:hAnsiTheme="majorHAnsi" w:cstheme="majorHAnsi"/>
        </w:rPr>
        <w:t xml:space="preserve">Enable participants to assess </w:t>
      </w:r>
      <w:r w:rsidR="00C752D9" w:rsidRPr="00C752D9">
        <w:rPr>
          <w:rFonts w:asciiTheme="majorHAnsi" w:hAnsiTheme="majorHAnsi" w:cstheme="majorHAnsi"/>
          <w:b/>
        </w:rPr>
        <w:t>irrigation</w:t>
      </w:r>
      <w:r w:rsidR="00C752D9">
        <w:rPr>
          <w:rFonts w:asciiTheme="majorHAnsi" w:hAnsiTheme="majorHAnsi" w:cstheme="majorHAnsi"/>
        </w:rPr>
        <w:t xml:space="preserve"> </w:t>
      </w:r>
      <w:r w:rsidRPr="00E81F23">
        <w:rPr>
          <w:rFonts w:asciiTheme="majorHAnsi" w:hAnsiTheme="majorHAnsi" w:cstheme="majorHAnsi"/>
          <w:b/>
          <w:bCs/>
        </w:rPr>
        <w:t xml:space="preserve">groundwater </w:t>
      </w:r>
      <w:r w:rsidR="00C752D9">
        <w:rPr>
          <w:rFonts w:asciiTheme="majorHAnsi" w:hAnsiTheme="majorHAnsi" w:cstheme="majorHAnsi"/>
          <w:b/>
          <w:bCs/>
        </w:rPr>
        <w:t>use</w:t>
      </w:r>
      <w:r w:rsidR="00BC3381" w:rsidRPr="00E81F23">
        <w:rPr>
          <w:rFonts w:asciiTheme="majorHAnsi" w:hAnsiTheme="majorHAnsi" w:cstheme="majorHAnsi"/>
          <w:b/>
          <w:bCs/>
        </w:rPr>
        <w:t xml:space="preserve"> and </w:t>
      </w:r>
      <w:r w:rsidR="001072F7">
        <w:rPr>
          <w:rFonts w:asciiTheme="majorHAnsi" w:hAnsiTheme="majorHAnsi" w:cstheme="majorHAnsi"/>
          <w:b/>
          <w:bCs/>
        </w:rPr>
        <w:t xml:space="preserve">its </w:t>
      </w:r>
      <w:r w:rsidRPr="00E81F23">
        <w:rPr>
          <w:rFonts w:asciiTheme="majorHAnsi" w:hAnsiTheme="majorHAnsi" w:cstheme="majorHAnsi"/>
          <w:b/>
          <w:bCs/>
        </w:rPr>
        <w:t xml:space="preserve">recharge </w:t>
      </w:r>
      <w:r w:rsidRPr="00E81F23">
        <w:rPr>
          <w:rFonts w:asciiTheme="majorHAnsi" w:hAnsiTheme="majorHAnsi" w:cstheme="majorHAnsi"/>
        </w:rPr>
        <w:t xml:space="preserve">using </w:t>
      </w:r>
      <w:proofErr w:type="spellStart"/>
      <w:r w:rsidRPr="00E81F23">
        <w:rPr>
          <w:rFonts w:asciiTheme="majorHAnsi" w:hAnsiTheme="majorHAnsi" w:cstheme="majorHAnsi"/>
        </w:rPr>
        <w:t>WaPOR</w:t>
      </w:r>
      <w:proofErr w:type="spellEnd"/>
      <w:r w:rsidR="00440E7B">
        <w:rPr>
          <w:rFonts w:asciiTheme="majorHAnsi" w:hAnsiTheme="majorHAnsi" w:cstheme="majorHAnsi"/>
        </w:rPr>
        <w:t xml:space="preserve"> and GEE</w:t>
      </w:r>
      <w:r w:rsidRPr="00E81F23">
        <w:rPr>
          <w:rFonts w:asciiTheme="majorHAnsi" w:hAnsiTheme="majorHAnsi" w:cstheme="majorHAnsi"/>
        </w:rPr>
        <w:t xml:space="preserve"> data, thereby addressing issues such as groundwater overuse and water stress in the region.</w:t>
      </w:r>
    </w:p>
    <w:p w14:paraId="05EFDDB8" w14:textId="77777777" w:rsidR="00E81F23" w:rsidRPr="00E81F23" w:rsidRDefault="00E81F23" w:rsidP="00E81F23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E81F23">
        <w:rPr>
          <w:rFonts w:asciiTheme="majorHAnsi" w:hAnsiTheme="majorHAnsi" w:cstheme="majorHAnsi"/>
        </w:rPr>
        <w:t xml:space="preserve">Train participants to </w:t>
      </w:r>
      <w:r w:rsidR="00B72F26" w:rsidRPr="00B72F26">
        <w:rPr>
          <w:rFonts w:asciiTheme="majorHAnsi" w:hAnsiTheme="majorHAnsi" w:cstheme="majorHAnsi"/>
          <w:b/>
        </w:rPr>
        <w:t>co-</w:t>
      </w:r>
      <w:r w:rsidRPr="00B72F26">
        <w:rPr>
          <w:rFonts w:asciiTheme="majorHAnsi" w:hAnsiTheme="majorHAnsi" w:cstheme="majorHAnsi"/>
          <w:b/>
          <w:bCs/>
        </w:rPr>
        <w:t>develop</w:t>
      </w:r>
      <w:r w:rsidRPr="00E81F23">
        <w:rPr>
          <w:rFonts w:asciiTheme="majorHAnsi" w:hAnsiTheme="majorHAnsi" w:cstheme="majorHAnsi"/>
          <w:b/>
          <w:bCs/>
        </w:rPr>
        <w:t>, manage, and update</w:t>
      </w:r>
      <w:r w:rsidRPr="00E81F23">
        <w:rPr>
          <w:rFonts w:asciiTheme="majorHAnsi" w:hAnsiTheme="majorHAnsi" w:cstheme="majorHAnsi"/>
        </w:rPr>
        <w:t xml:space="preserve"> an interactive dashboard that integrates key water indicators, supporting informed decision-making for sustainable water management.</w:t>
      </w:r>
    </w:p>
    <w:p w14:paraId="5E1981FB" w14:textId="6B4E64C7" w:rsidR="00E81F23" w:rsidRDefault="00E81F23" w:rsidP="00E81F23">
      <w:pPr>
        <w:rPr>
          <w:rFonts w:asciiTheme="majorHAnsi" w:hAnsiTheme="majorHAnsi" w:cstheme="majorHAnsi"/>
        </w:rPr>
      </w:pPr>
      <w:r w:rsidRPr="00E81F23">
        <w:rPr>
          <w:rFonts w:asciiTheme="majorHAnsi" w:hAnsiTheme="majorHAnsi" w:cstheme="majorHAnsi"/>
        </w:rPr>
        <w:t xml:space="preserve">By providing this training, the project aims to enhance the capacity of local stakeholders to </w:t>
      </w:r>
      <w:r w:rsidR="00D2708C">
        <w:rPr>
          <w:rFonts w:asciiTheme="majorHAnsi" w:hAnsiTheme="majorHAnsi" w:cstheme="majorHAnsi"/>
        </w:rPr>
        <w:t xml:space="preserve">monitor </w:t>
      </w:r>
      <w:r w:rsidR="005827F8">
        <w:rPr>
          <w:rFonts w:asciiTheme="majorHAnsi" w:hAnsiTheme="majorHAnsi" w:cstheme="majorHAnsi"/>
        </w:rPr>
        <w:t xml:space="preserve">key water indicators using </w:t>
      </w:r>
      <w:proofErr w:type="spellStart"/>
      <w:r w:rsidR="005827F8">
        <w:rPr>
          <w:rFonts w:asciiTheme="majorHAnsi" w:hAnsiTheme="majorHAnsi" w:cstheme="majorHAnsi"/>
        </w:rPr>
        <w:t>WaPOR</w:t>
      </w:r>
      <w:proofErr w:type="spellEnd"/>
      <w:r w:rsidR="005827F8">
        <w:rPr>
          <w:rFonts w:asciiTheme="majorHAnsi" w:hAnsiTheme="majorHAnsi" w:cstheme="majorHAnsi"/>
        </w:rPr>
        <w:t xml:space="preserve"> data to support managing water resources at national level and to </w:t>
      </w:r>
      <w:r w:rsidRPr="00E81F23">
        <w:rPr>
          <w:rFonts w:asciiTheme="majorHAnsi" w:hAnsiTheme="majorHAnsi" w:cstheme="majorHAnsi"/>
        </w:rPr>
        <w:t xml:space="preserve">manage </w:t>
      </w:r>
      <w:r w:rsidR="00C752D9">
        <w:rPr>
          <w:rFonts w:asciiTheme="majorHAnsi" w:hAnsiTheme="majorHAnsi" w:cstheme="majorHAnsi"/>
        </w:rPr>
        <w:t>ground</w:t>
      </w:r>
      <w:r w:rsidRPr="00E81F23">
        <w:rPr>
          <w:rFonts w:asciiTheme="majorHAnsi" w:hAnsiTheme="majorHAnsi" w:cstheme="majorHAnsi"/>
        </w:rPr>
        <w:t>water resources efficiently, ensuring that the region’s agricultural productivity and water sustainability are improved in the long term.</w:t>
      </w:r>
    </w:p>
    <w:p w14:paraId="397D0D78" w14:textId="326941FB" w:rsidR="00C71340" w:rsidRPr="00E81F23" w:rsidRDefault="00454BE5" w:rsidP="00E81F2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0D7A9315">
          <v:rect id="_x0000_i1026" style="width:0;height:1.5pt" o:hralign="center" o:hrstd="t" o:hr="t" fillcolor="#a0a0a0" stroked="f"/>
        </w:pict>
      </w:r>
    </w:p>
    <w:p w14:paraId="44F3763B" w14:textId="77777777" w:rsidR="00C71340" w:rsidRPr="005B0706" w:rsidRDefault="00C71340" w:rsidP="00C71340">
      <w:pPr>
        <w:rPr>
          <w:rFonts w:asciiTheme="majorHAnsi" w:hAnsiTheme="majorHAnsi" w:cstheme="majorHAnsi"/>
          <w:b/>
          <w:bCs/>
        </w:rPr>
      </w:pPr>
      <w:r w:rsidRPr="005B0706">
        <w:rPr>
          <w:rFonts w:asciiTheme="majorHAnsi" w:hAnsiTheme="majorHAnsi" w:cstheme="majorHAnsi"/>
          <w:b/>
          <w:bCs/>
        </w:rPr>
        <w:t>Participants</w:t>
      </w:r>
    </w:p>
    <w:p w14:paraId="4B0B932B" w14:textId="138D4CFD" w:rsidR="00C71340" w:rsidRPr="005B0706" w:rsidRDefault="00C71340" w:rsidP="00C71340">
      <w:pPr>
        <w:rPr>
          <w:rFonts w:asciiTheme="majorHAnsi" w:hAnsiTheme="majorHAnsi" w:cstheme="majorHAnsi"/>
        </w:rPr>
      </w:pPr>
      <w:r w:rsidRPr="00970BA6">
        <w:rPr>
          <w:rFonts w:asciiTheme="majorHAnsi" w:hAnsiTheme="majorHAnsi" w:cstheme="majorHAnsi"/>
        </w:rPr>
        <w:t xml:space="preserve">This training is designed for approximately </w:t>
      </w:r>
      <w:r>
        <w:rPr>
          <w:rFonts w:asciiTheme="majorHAnsi" w:hAnsiTheme="majorHAnsi" w:cstheme="majorHAnsi"/>
        </w:rPr>
        <w:t>5-10</w:t>
      </w:r>
      <w:r w:rsidRPr="00970BA6">
        <w:rPr>
          <w:rFonts w:asciiTheme="majorHAnsi" w:hAnsiTheme="majorHAnsi" w:cstheme="majorHAnsi"/>
        </w:rPr>
        <w:t xml:space="preserve"> technical staff members from </w:t>
      </w:r>
      <w:r>
        <w:rPr>
          <w:rFonts w:asciiTheme="majorHAnsi" w:hAnsiTheme="majorHAnsi" w:cstheme="majorHAnsi"/>
        </w:rPr>
        <w:t xml:space="preserve">University of Jordan and two technical teams from Palestine (group 1 with focus on the integration of </w:t>
      </w:r>
      <w:proofErr w:type="spellStart"/>
      <w:r>
        <w:rPr>
          <w:rFonts w:asciiTheme="majorHAnsi" w:hAnsiTheme="majorHAnsi" w:cstheme="majorHAnsi"/>
        </w:rPr>
        <w:t>WaPOR</w:t>
      </w:r>
      <w:proofErr w:type="spellEnd"/>
      <w:r>
        <w:rPr>
          <w:rFonts w:asciiTheme="majorHAnsi" w:hAnsiTheme="majorHAnsi" w:cstheme="majorHAnsi"/>
        </w:rPr>
        <w:t xml:space="preserve"> into NWIS) and group 2 with focus on GW)</w:t>
      </w:r>
      <w:r w:rsidRPr="00970BA6">
        <w:rPr>
          <w:rFonts w:asciiTheme="majorHAnsi" w:hAnsiTheme="majorHAnsi" w:cstheme="majorHAnsi"/>
        </w:rPr>
        <w:t>. The trainees are expected to have a basic understanding of remote sensing, GIS, and Python programming. They will gain hands-on experience in data collection, analysis, and maintaining dashboards for water and irrigation productivity.</w:t>
      </w:r>
    </w:p>
    <w:p w14:paraId="74363B25" w14:textId="7DA6A662" w:rsidR="00C71340" w:rsidRPr="005B0706" w:rsidRDefault="00C71340" w:rsidP="00C71340">
      <w:pPr>
        <w:rPr>
          <w:rFonts w:asciiTheme="majorHAnsi" w:hAnsiTheme="majorHAnsi" w:cstheme="majorHAnsi"/>
        </w:rPr>
      </w:pPr>
      <w:r w:rsidRPr="005B0706">
        <w:rPr>
          <w:rFonts w:asciiTheme="majorHAnsi" w:hAnsiTheme="majorHAnsi" w:cstheme="majorHAnsi"/>
        </w:rPr>
        <w:t xml:space="preserve">Participants who complete the training will receive certificates and will be capable of running </w:t>
      </w:r>
      <w:proofErr w:type="spellStart"/>
      <w:r w:rsidR="005436EB">
        <w:rPr>
          <w:rFonts w:asciiTheme="majorHAnsi" w:hAnsiTheme="majorHAnsi" w:cstheme="majorHAnsi"/>
        </w:rPr>
        <w:t>WaPOR</w:t>
      </w:r>
      <w:proofErr w:type="spellEnd"/>
      <w:r w:rsidR="005436EB">
        <w:rPr>
          <w:rFonts w:asciiTheme="majorHAnsi" w:hAnsiTheme="majorHAnsi" w:cstheme="majorHAnsi"/>
        </w:rPr>
        <w:t xml:space="preserve"> based analyses</w:t>
      </w:r>
      <w:r w:rsidRPr="005B0706">
        <w:rPr>
          <w:rFonts w:asciiTheme="majorHAnsi" w:hAnsiTheme="majorHAnsi" w:cstheme="majorHAnsi"/>
        </w:rPr>
        <w:t xml:space="preserve"> contributing to long-term water resource management in the region.</w:t>
      </w:r>
    </w:p>
    <w:p w14:paraId="2D79929E" w14:textId="020C3233" w:rsidR="00C71340" w:rsidRDefault="00454BE5" w:rsidP="005B0706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pict w14:anchorId="47EA4956">
          <v:rect id="_x0000_i1027" style="width:0;height:1.5pt" o:hralign="center" o:hrstd="t" o:hr="t" fillcolor="#a0a0a0" stroked="f"/>
        </w:pict>
      </w:r>
    </w:p>
    <w:p w14:paraId="2EF3B52B" w14:textId="77777777" w:rsidR="005827F8" w:rsidRDefault="005827F8" w:rsidP="005B0706">
      <w:pPr>
        <w:rPr>
          <w:rFonts w:asciiTheme="majorHAnsi" w:hAnsiTheme="majorHAnsi" w:cstheme="majorHAnsi"/>
          <w:b/>
          <w:bCs/>
        </w:rPr>
        <w:sectPr w:rsidR="005827F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1EDFDB7" w14:textId="2C68406B" w:rsidR="005B0706" w:rsidRPr="005B0706" w:rsidRDefault="005B0706" w:rsidP="005B0706">
      <w:pPr>
        <w:rPr>
          <w:rFonts w:asciiTheme="majorHAnsi" w:hAnsiTheme="majorHAnsi" w:cstheme="majorHAnsi"/>
          <w:b/>
          <w:bCs/>
        </w:rPr>
      </w:pPr>
      <w:r w:rsidRPr="005B0706">
        <w:rPr>
          <w:rFonts w:asciiTheme="majorHAnsi" w:hAnsiTheme="majorHAnsi" w:cstheme="majorHAnsi"/>
          <w:b/>
          <w:bCs/>
        </w:rPr>
        <w:lastRenderedPageBreak/>
        <w:t>Schedule</w:t>
      </w:r>
      <w:r w:rsidR="00675818">
        <w:rPr>
          <w:rFonts w:asciiTheme="majorHAnsi" w:hAnsiTheme="majorHAnsi" w:cstheme="majorHAnsi"/>
          <w:b/>
          <w:bCs/>
        </w:rPr>
        <w:t xml:space="preserve"> </w:t>
      </w:r>
    </w:p>
    <w:p w14:paraId="10515243" w14:textId="5947D573" w:rsidR="00C71340" w:rsidRDefault="00E81F23" w:rsidP="00E81F23">
      <w:pPr>
        <w:rPr>
          <w:rFonts w:asciiTheme="majorHAnsi" w:hAnsiTheme="majorHAnsi" w:cstheme="majorHAnsi"/>
        </w:rPr>
      </w:pPr>
      <w:r w:rsidRPr="00E81F23">
        <w:rPr>
          <w:rFonts w:asciiTheme="majorHAnsi" w:hAnsiTheme="majorHAnsi" w:cstheme="majorHAnsi"/>
        </w:rPr>
        <w:t xml:space="preserve">The training will begin in </w:t>
      </w:r>
      <w:r w:rsidR="001072F7">
        <w:rPr>
          <w:rFonts w:asciiTheme="majorHAnsi" w:hAnsiTheme="majorHAnsi" w:cstheme="majorHAnsi"/>
          <w:b/>
          <w:bCs/>
        </w:rPr>
        <w:t>March</w:t>
      </w:r>
      <w:r w:rsidRPr="00E81F23">
        <w:rPr>
          <w:rFonts w:asciiTheme="majorHAnsi" w:hAnsiTheme="majorHAnsi" w:cstheme="majorHAnsi"/>
          <w:b/>
          <w:bCs/>
        </w:rPr>
        <w:t xml:space="preserve"> 202</w:t>
      </w:r>
      <w:r w:rsidR="00C752D9">
        <w:rPr>
          <w:rFonts w:asciiTheme="majorHAnsi" w:hAnsiTheme="majorHAnsi" w:cstheme="majorHAnsi"/>
          <w:b/>
          <w:bCs/>
        </w:rPr>
        <w:t>5</w:t>
      </w:r>
      <w:r w:rsidRPr="00E81F23">
        <w:rPr>
          <w:rFonts w:asciiTheme="majorHAnsi" w:hAnsiTheme="majorHAnsi" w:cstheme="majorHAnsi"/>
        </w:rPr>
        <w:t xml:space="preserve">, with </w:t>
      </w:r>
      <w:r w:rsidR="00153A14">
        <w:rPr>
          <w:rFonts w:asciiTheme="majorHAnsi" w:hAnsiTheme="majorHAnsi" w:cstheme="majorHAnsi"/>
        </w:rPr>
        <w:t xml:space="preserve">weekly </w:t>
      </w:r>
      <w:r w:rsidRPr="00E81F23">
        <w:rPr>
          <w:rFonts w:asciiTheme="majorHAnsi" w:hAnsiTheme="majorHAnsi" w:cstheme="majorHAnsi"/>
        </w:rPr>
        <w:t xml:space="preserve">online </w:t>
      </w:r>
      <w:r w:rsidR="00153A14">
        <w:rPr>
          <w:rFonts w:asciiTheme="majorHAnsi" w:hAnsiTheme="majorHAnsi" w:cstheme="majorHAnsi"/>
        </w:rPr>
        <w:t>sessions (</w:t>
      </w:r>
      <w:r w:rsidR="005827F8">
        <w:rPr>
          <w:rFonts w:asciiTheme="majorHAnsi" w:hAnsiTheme="majorHAnsi" w:cstheme="majorHAnsi"/>
        </w:rPr>
        <w:t>1-</w:t>
      </w:r>
      <w:r w:rsidR="00153A14">
        <w:rPr>
          <w:rFonts w:asciiTheme="majorHAnsi" w:hAnsiTheme="majorHAnsi" w:cstheme="majorHAnsi"/>
        </w:rPr>
        <w:t xml:space="preserve">2hrs) with </w:t>
      </w:r>
      <w:r w:rsidR="00153A14" w:rsidRPr="00E81F23">
        <w:rPr>
          <w:rFonts w:asciiTheme="majorHAnsi" w:hAnsiTheme="majorHAnsi" w:cstheme="majorHAnsi"/>
        </w:rPr>
        <w:t>individual/team assignments</w:t>
      </w:r>
      <w:r w:rsidR="00153A14">
        <w:rPr>
          <w:rFonts w:asciiTheme="majorHAnsi" w:hAnsiTheme="majorHAnsi" w:cstheme="majorHAnsi"/>
        </w:rPr>
        <w:t xml:space="preserve"> (</w:t>
      </w:r>
      <w:r w:rsidR="001072F7">
        <w:rPr>
          <w:rFonts w:asciiTheme="majorHAnsi" w:hAnsiTheme="majorHAnsi" w:cstheme="majorHAnsi"/>
        </w:rPr>
        <w:t>2</w:t>
      </w:r>
      <w:r w:rsidR="00153A14">
        <w:rPr>
          <w:rFonts w:asciiTheme="majorHAnsi" w:hAnsiTheme="majorHAnsi" w:cstheme="majorHAnsi"/>
        </w:rPr>
        <w:t>-</w:t>
      </w:r>
      <w:r w:rsidR="001072F7">
        <w:rPr>
          <w:rFonts w:asciiTheme="majorHAnsi" w:hAnsiTheme="majorHAnsi" w:cstheme="majorHAnsi"/>
        </w:rPr>
        <w:t>4</w:t>
      </w:r>
      <w:r w:rsidR="00153A14">
        <w:rPr>
          <w:rFonts w:asciiTheme="majorHAnsi" w:hAnsiTheme="majorHAnsi" w:cstheme="majorHAnsi"/>
        </w:rPr>
        <w:t xml:space="preserve"> hrs</w:t>
      </w:r>
      <w:r w:rsidR="001072F7">
        <w:rPr>
          <w:rFonts w:asciiTheme="majorHAnsi" w:hAnsiTheme="majorHAnsi" w:cstheme="majorHAnsi"/>
        </w:rPr>
        <w:t>)</w:t>
      </w:r>
      <w:r w:rsidRPr="00E81F23">
        <w:rPr>
          <w:rFonts w:asciiTheme="majorHAnsi" w:hAnsiTheme="majorHAnsi" w:cstheme="majorHAnsi"/>
        </w:rPr>
        <w:t xml:space="preserve">. </w:t>
      </w:r>
      <w:r w:rsidR="00153A14">
        <w:rPr>
          <w:rFonts w:asciiTheme="majorHAnsi" w:hAnsiTheme="majorHAnsi" w:cstheme="majorHAnsi"/>
        </w:rPr>
        <w:t xml:space="preserve">Part of the training materials are available in </w:t>
      </w:r>
      <w:r w:rsidRPr="00E81F23">
        <w:rPr>
          <w:rFonts w:asciiTheme="majorHAnsi" w:hAnsiTheme="majorHAnsi" w:cstheme="majorHAnsi"/>
        </w:rPr>
        <w:t xml:space="preserve">relevant </w:t>
      </w:r>
      <w:r w:rsidRPr="00E81F23">
        <w:rPr>
          <w:rFonts w:asciiTheme="majorHAnsi" w:hAnsiTheme="majorHAnsi" w:cstheme="majorHAnsi"/>
          <w:b/>
          <w:bCs/>
        </w:rPr>
        <w:t>MOOC</w:t>
      </w:r>
      <w:r w:rsidR="00153A14">
        <w:rPr>
          <w:rFonts w:asciiTheme="majorHAnsi" w:hAnsiTheme="majorHAnsi" w:cstheme="majorHAnsi"/>
          <w:b/>
          <w:bCs/>
        </w:rPr>
        <w:t>s</w:t>
      </w:r>
      <w:r w:rsidR="005835DD">
        <w:rPr>
          <w:rFonts w:asciiTheme="majorHAnsi" w:hAnsiTheme="majorHAnsi" w:cstheme="majorHAnsi"/>
          <w:b/>
          <w:bCs/>
        </w:rPr>
        <w:t xml:space="preserve"> </w:t>
      </w:r>
      <w:r w:rsidR="005835DD" w:rsidRPr="009726E9">
        <w:rPr>
          <w:rFonts w:asciiTheme="majorHAnsi" w:hAnsiTheme="majorHAnsi" w:cstheme="majorHAnsi"/>
          <w:bCs/>
        </w:rPr>
        <w:t xml:space="preserve">and </w:t>
      </w:r>
      <w:r w:rsidR="005835DD" w:rsidRPr="005835DD">
        <w:rPr>
          <w:rFonts w:asciiTheme="majorHAnsi" w:hAnsiTheme="majorHAnsi" w:cstheme="majorHAnsi"/>
          <w:b/>
          <w:bCs/>
        </w:rPr>
        <w:t>a dedicated OCW page will be made available for the participants</w:t>
      </w:r>
      <w:r w:rsidRPr="00E81F23">
        <w:rPr>
          <w:rFonts w:asciiTheme="majorHAnsi" w:hAnsiTheme="majorHAnsi" w:cstheme="majorHAnsi"/>
        </w:rPr>
        <w:t>. Below is the schedule</w:t>
      </w:r>
      <w:r w:rsidR="00C71340">
        <w:rPr>
          <w:rFonts w:asciiTheme="majorHAnsi" w:hAnsiTheme="majorHAnsi" w:cstheme="majorHAnsi"/>
        </w:rPr>
        <w:t xml:space="preserve"> in blue for Jordan, in orange for Palestine</w:t>
      </w:r>
      <w:r w:rsidRPr="00E81F23">
        <w:rPr>
          <w:rFonts w:asciiTheme="majorHAnsi" w:hAnsiTheme="majorHAnsi" w:cstheme="majorHAnsi"/>
        </w:rPr>
        <w:t>.</w:t>
      </w:r>
    </w:p>
    <w:tbl>
      <w:tblPr>
        <w:tblStyle w:val="GridTable1Light-Accent1"/>
        <w:tblW w:w="0" w:type="auto"/>
        <w:tblLayout w:type="fixed"/>
        <w:tblLook w:val="04A0" w:firstRow="1" w:lastRow="0" w:firstColumn="1" w:lastColumn="0" w:noHBand="0" w:noVBand="1"/>
      </w:tblPr>
      <w:tblGrid>
        <w:gridCol w:w="510"/>
        <w:gridCol w:w="5029"/>
        <w:gridCol w:w="323"/>
        <w:gridCol w:w="323"/>
        <w:gridCol w:w="324"/>
        <w:gridCol w:w="323"/>
        <w:gridCol w:w="323"/>
        <w:gridCol w:w="324"/>
        <w:gridCol w:w="323"/>
        <w:gridCol w:w="324"/>
        <w:gridCol w:w="323"/>
        <w:gridCol w:w="324"/>
        <w:gridCol w:w="323"/>
        <w:gridCol w:w="324"/>
        <w:gridCol w:w="323"/>
        <w:gridCol w:w="324"/>
        <w:gridCol w:w="323"/>
        <w:gridCol w:w="323"/>
        <w:gridCol w:w="323"/>
        <w:gridCol w:w="324"/>
        <w:gridCol w:w="323"/>
        <w:gridCol w:w="324"/>
        <w:gridCol w:w="323"/>
        <w:gridCol w:w="324"/>
        <w:gridCol w:w="323"/>
        <w:gridCol w:w="324"/>
        <w:gridCol w:w="323"/>
        <w:gridCol w:w="324"/>
      </w:tblGrid>
      <w:tr w:rsidR="00054137" w:rsidRPr="00C71340" w14:paraId="5762046F" w14:textId="22C415DD" w:rsidTr="00D04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hideMark/>
          </w:tcPr>
          <w:p w14:paraId="49F454CD" w14:textId="77777777" w:rsidR="00054137" w:rsidRPr="00C71340" w:rsidRDefault="00054137" w:rsidP="00054137">
            <w:pPr>
              <w:spacing w:after="160" w:line="259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No</w:t>
            </w:r>
          </w:p>
        </w:tc>
        <w:tc>
          <w:tcPr>
            <w:tcW w:w="5029" w:type="dxa"/>
            <w:hideMark/>
          </w:tcPr>
          <w:p w14:paraId="3D66218D" w14:textId="77777777" w:rsidR="00054137" w:rsidRPr="00C71340" w:rsidRDefault="00054137" w:rsidP="0005413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Activities</w:t>
            </w:r>
          </w:p>
        </w:tc>
        <w:tc>
          <w:tcPr>
            <w:tcW w:w="323" w:type="dxa"/>
            <w:textDirection w:val="btLr"/>
            <w:hideMark/>
          </w:tcPr>
          <w:p w14:paraId="1221F957" w14:textId="584972AE" w:rsidR="00054137" w:rsidRPr="00C71340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12/3</w:t>
            </w:r>
          </w:p>
        </w:tc>
        <w:tc>
          <w:tcPr>
            <w:tcW w:w="323" w:type="dxa"/>
            <w:textDirection w:val="btLr"/>
          </w:tcPr>
          <w:p w14:paraId="2F5E12F3" w14:textId="7C0CBE0A" w:rsidR="00054137" w:rsidRPr="00C71340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/3</w:t>
            </w:r>
          </w:p>
        </w:tc>
        <w:tc>
          <w:tcPr>
            <w:tcW w:w="324" w:type="dxa"/>
            <w:textDirection w:val="btLr"/>
          </w:tcPr>
          <w:p w14:paraId="0B5771F5" w14:textId="1094967E" w:rsidR="00054137" w:rsidRPr="00C71340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26/3</w:t>
            </w:r>
          </w:p>
        </w:tc>
        <w:tc>
          <w:tcPr>
            <w:tcW w:w="323" w:type="dxa"/>
            <w:textDirection w:val="btLr"/>
          </w:tcPr>
          <w:p w14:paraId="14A71447" w14:textId="2393DCB0" w:rsidR="00054137" w:rsidRPr="00C71340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2/4</w:t>
            </w:r>
          </w:p>
        </w:tc>
        <w:tc>
          <w:tcPr>
            <w:tcW w:w="323" w:type="dxa"/>
            <w:textDirection w:val="btLr"/>
          </w:tcPr>
          <w:p w14:paraId="1FD46A6F" w14:textId="7A861477" w:rsidR="00054137" w:rsidRPr="00C71340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9/4</w:t>
            </w:r>
          </w:p>
        </w:tc>
        <w:tc>
          <w:tcPr>
            <w:tcW w:w="324" w:type="dxa"/>
            <w:textDirection w:val="btLr"/>
          </w:tcPr>
          <w:p w14:paraId="6606C172" w14:textId="04CC12D8" w:rsidR="00054137" w:rsidRPr="00C71340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16/4</w:t>
            </w:r>
          </w:p>
        </w:tc>
        <w:tc>
          <w:tcPr>
            <w:tcW w:w="323" w:type="dxa"/>
            <w:textDirection w:val="btLr"/>
          </w:tcPr>
          <w:p w14:paraId="445B6D06" w14:textId="23FB9474" w:rsidR="00054137" w:rsidRPr="00C71340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23/4</w:t>
            </w:r>
          </w:p>
        </w:tc>
        <w:tc>
          <w:tcPr>
            <w:tcW w:w="324" w:type="dxa"/>
            <w:textDirection w:val="btLr"/>
          </w:tcPr>
          <w:p w14:paraId="01DA98CA" w14:textId="057AF186" w:rsidR="00054137" w:rsidRPr="00C71340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30/4</w:t>
            </w:r>
          </w:p>
        </w:tc>
        <w:tc>
          <w:tcPr>
            <w:tcW w:w="323" w:type="dxa"/>
            <w:textDirection w:val="btLr"/>
          </w:tcPr>
          <w:p w14:paraId="32187311" w14:textId="58904AD0" w:rsidR="00054137" w:rsidRPr="00C71340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7/5</w:t>
            </w:r>
          </w:p>
        </w:tc>
        <w:tc>
          <w:tcPr>
            <w:tcW w:w="324" w:type="dxa"/>
            <w:textDirection w:val="btLr"/>
          </w:tcPr>
          <w:p w14:paraId="30A9538F" w14:textId="3293030D" w:rsidR="00054137" w:rsidRPr="00C71340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14/5</w:t>
            </w:r>
          </w:p>
        </w:tc>
        <w:tc>
          <w:tcPr>
            <w:tcW w:w="323" w:type="dxa"/>
            <w:textDirection w:val="btLr"/>
          </w:tcPr>
          <w:p w14:paraId="7426D217" w14:textId="4CE8DC5E" w:rsidR="00054137" w:rsidRPr="00C71340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21/5</w:t>
            </w:r>
          </w:p>
        </w:tc>
        <w:tc>
          <w:tcPr>
            <w:tcW w:w="324" w:type="dxa"/>
            <w:textDirection w:val="btLr"/>
          </w:tcPr>
          <w:p w14:paraId="4346D250" w14:textId="1C5AE967" w:rsidR="00054137" w:rsidRPr="00C71340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28/5</w:t>
            </w:r>
          </w:p>
        </w:tc>
        <w:tc>
          <w:tcPr>
            <w:tcW w:w="323" w:type="dxa"/>
            <w:textDirection w:val="btLr"/>
          </w:tcPr>
          <w:p w14:paraId="26790928" w14:textId="66B8D36E" w:rsidR="00054137" w:rsidRPr="00C71340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4/6</w:t>
            </w:r>
          </w:p>
        </w:tc>
        <w:tc>
          <w:tcPr>
            <w:tcW w:w="324" w:type="dxa"/>
            <w:textDirection w:val="btLr"/>
          </w:tcPr>
          <w:p w14:paraId="6E1994C4" w14:textId="5B9419F2" w:rsidR="00054137" w:rsidRPr="00C71340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11/6</w:t>
            </w:r>
          </w:p>
        </w:tc>
        <w:tc>
          <w:tcPr>
            <w:tcW w:w="323" w:type="dxa"/>
            <w:textDirection w:val="btLr"/>
          </w:tcPr>
          <w:p w14:paraId="5282E74C" w14:textId="5BB443D6" w:rsidR="00054137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18/6</w:t>
            </w:r>
          </w:p>
        </w:tc>
        <w:tc>
          <w:tcPr>
            <w:tcW w:w="323" w:type="dxa"/>
            <w:textDirection w:val="btLr"/>
          </w:tcPr>
          <w:p w14:paraId="54261EAF" w14:textId="0EBCF626" w:rsidR="00054137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25/6</w:t>
            </w:r>
          </w:p>
        </w:tc>
        <w:tc>
          <w:tcPr>
            <w:tcW w:w="323" w:type="dxa"/>
            <w:textDirection w:val="btLr"/>
          </w:tcPr>
          <w:p w14:paraId="6CADFDBC" w14:textId="2DBD59AD" w:rsidR="00054137" w:rsidRPr="00C71340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Break</w:t>
            </w:r>
          </w:p>
        </w:tc>
        <w:tc>
          <w:tcPr>
            <w:tcW w:w="324" w:type="dxa"/>
            <w:textDirection w:val="btLr"/>
          </w:tcPr>
          <w:p w14:paraId="0D317633" w14:textId="76A2FFE2" w:rsidR="00054137" w:rsidRPr="00C71340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20/8</w:t>
            </w:r>
          </w:p>
        </w:tc>
        <w:tc>
          <w:tcPr>
            <w:tcW w:w="323" w:type="dxa"/>
            <w:textDirection w:val="btLr"/>
          </w:tcPr>
          <w:p w14:paraId="5AC665E9" w14:textId="663F7E4E" w:rsidR="00054137" w:rsidRPr="00C71340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27/8</w:t>
            </w:r>
          </w:p>
        </w:tc>
        <w:tc>
          <w:tcPr>
            <w:tcW w:w="324" w:type="dxa"/>
            <w:textDirection w:val="btLr"/>
          </w:tcPr>
          <w:p w14:paraId="41EA7E81" w14:textId="2CDD6442" w:rsidR="00054137" w:rsidRPr="00C71340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3/9</w:t>
            </w:r>
          </w:p>
        </w:tc>
        <w:tc>
          <w:tcPr>
            <w:tcW w:w="323" w:type="dxa"/>
            <w:textDirection w:val="btLr"/>
          </w:tcPr>
          <w:p w14:paraId="4106673A" w14:textId="445BFD5C" w:rsidR="00054137" w:rsidRPr="00C71340" w:rsidRDefault="00054137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10/9</w:t>
            </w:r>
          </w:p>
        </w:tc>
        <w:tc>
          <w:tcPr>
            <w:tcW w:w="324" w:type="dxa"/>
            <w:textDirection w:val="btLr"/>
          </w:tcPr>
          <w:p w14:paraId="48910451" w14:textId="22BBF2EB" w:rsidR="00054137" w:rsidRPr="00C71340" w:rsidRDefault="00BC0BF1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17/9</w:t>
            </w:r>
          </w:p>
        </w:tc>
        <w:tc>
          <w:tcPr>
            <w:tcW w:w="323" w:type="dxa"/>
            <w:textDirection w:val="btLr"/>
          </w:tcPr>
          <w:p w14:paraId="56EAA687" w14:textId="38D10D54" w:rsidR="00054137" w:rsidRPr="00C71340" w:rsidRDefault="00C927EE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24/9</w:t>
            </w:r>
          </w:p>
        </w:tc>
        <w:tc>
          <w:tcPr>
            <w:tcW w:w="324" w:type="dxa"/>
            <w:textDirection w:val="btLr"/>
          </w:tcPr>
          <w:p w14:paraId="096C79E2" w14:textId="6969E318" w:rsidR="00054137" w:rsidRPr="00C71340" w:rsidRDefault="00C927EE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1/10</w:t>
            </w:r>
          </w:p>
        </w:tc>
        <w:tc>
          <w:tcPr>
            <w:tcW w:w="323" w:type="dxa"/>
            <w:textDirection w:val="btLr"/>
          </w:tcPr>
          <w:p w14:paraId="173BD4FE" w14:textId="0E7974E9" w:rsidR="00054137" w:rsidRPr="00C71340" w:rsidRDefault="00C927EE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8/10</w:t>
            </w:r>
          </w:p>
        </w:tc>
        <w:tc>
          <w:tcPr>
            <w:tcW w:w="324" w:type="dxa"/>
            <w:textDirection w:val="btLr"/>
          </w:tcPr>
          <w:p w14:paraId="57877DD9" w14:textId="131F2A17" w:rsidR="00054137" w:rsidRPr="00C71340" w:rsidRDefault="00C927EE" w:rsidP="000541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15/10</w:t>
            </w:r>
            <w:bookmarkStart w:id="1" w:name="_GoBack"/>
            <w:bookmarkEnd w:id="1"/>
          </w:p>
        </w:tc>
      </w:tr>
      <w:tr w:rsidR="00D0407D" w:rsidRPr="00C71340" w14:paraId="01122CC7" w14:textId="03F3E160" w:rsidTr="00CD5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 w:val="restart"/>
          </w:tcPr>
          <w:p w14:paraId="6650F269" w14:textId="77777777" w:rsidR="00D0407D" w:rsidRPr="00C71340" w:rsidRDefault="00D0407D" w:rsidP="00D0407D">
            <w:pPr>
              <w:spacing w:after="160" w:line="259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5029" w:type="dxa"/>
            <w:vMerge w:val="restart"/>
          </w:tcPr>
          <w:p w14:paraId="4A70890D" w14:textId="6EC55AC9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Introduction to the on the job training, Remote Sensing and </w:t>
            </w:r>
            <w:proofErr w:type="spellStart"/>
            <w:r w:rsidRPr="00C713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WaPOR</w:t>
            </w:r>
            <w:proofErr w:type="spellEnd"/>
            <w:r w:rsidRPr="00C713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(Mul)</w:t>
            </w:r>
          </w:p>
        </w:tc>
        <w:tc>
          <w:tcPr>
            <w:tcW w:w="323" w:type="dxa"/>
            <w:shd w:val="clear" w:color="auto" w:fill="8EAADB" w:themeFill="accent1" w:themeFillTint="99"/>
          </w:tcPr>
          <w:p w14:paraId="5A46889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5E8E428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1617648A" w14:textId="4709D070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664ED92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3AA209C9" w14:textId="68C19A71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7E715D5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784C60C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1A3990A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589FF2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3090367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A25105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6C5ED26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024692F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049AD70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53CDC41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5D81C5B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217A5BD1" w14:textId="5573FB6F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61DEC5BD" w14:textId="69EC18A5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2FE459C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1FFD417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4645D52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2E60D13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33852ED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2963D2C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1C46143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3E19D6C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62F359C7" w14:textId="00522F6C" w:rsidTr="00D04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</w:tcPr>
          <w:p w14:paraId="28F63206" w14:textId="77777777" w:rsidR="00D0407D" w:rsidRPr="00C71340" w:rsidRDefault="00D0407D" w:rsidP="00D0407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29" w:type="dxa"/>
            <w:vMerge/>
          </w:tcPr>
          <w:p w14:paraId="07E9D95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ED7D31" w:themeFill="accent2"/>
          </w:tcPr>
          <w:p w14:paraId="3142905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135D687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61A7BE2E" w14:textId="129C5B0B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34DAB9B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7B37D87A" w14:textId="79EDDA40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2878C47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3C16FF7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5954904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1C3048F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036BFCA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0C8731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04F47D8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32801F5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783E7BF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7932F00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7FB6602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09E13983" w14:textId="5689CE26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10273B4E" w14:textId="6E212DA6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4C1AE13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3E3E2E6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72870D3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3B672F1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2224991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4A74064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534798A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6BF1F78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2AA1DBD8" w14:textId="3CB115B0" w:rsidTr="00CD5AB0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 w:val="restart"/>
          </w:tcPr>
          <w:p w14:paraId="314C7F72" w14:textId="77777777" w:rsidR="00D0407D" w:rsidRPr="00C71340" w:rsidRDefault="00D0407D" w:rsidP="00D0407D">
            <w:pPr>
              <w:spacing w:after="160" w:line="259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5029" w:type="dxa"/>
            <w:vMerge w:val="restart"/>
            <w:hideMark/>
          </w:tcPr>
          <w:p w14:paraId="5EC2183F" w14:textId="5E9CE0C8" w:rsidR="00D0407D" w:rsidRPr="00C71340" w:rsidRDefault="00D0407D" w:rsidP="00D0407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MOOC: </w:t>
            </w:r>
            <w:proofErr w:type="spellStart"/>
            <w:r w:rsidRPr="00C713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WaPOR</w:t>
            </w:r>
            <w:proofErr w:type="spellEnd"/>
            <w:r w:rsidRPr="00C713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introduction (version 3) </w:t>
            </w:r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>(</w:t>
            </w: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Mul, Dehati)</w:t>
            </w:r>
          </w:p>
        </w:tc>
        <w:tc>
          <w:tcPr>
            <w:tcW w:w="323" w:type="dxa"/>
            <w:shd w:val="clear" w:color="auto" w:fill="auto"/>
          </w:tcPr>
          <w:p w14:paraId="57291A7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8EAADB" w:themeFill="accent1" w:themeFillTint="99"/>
          </w:tcPr>
          <w:p w14:paraId="4F93E8E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7656A9C" w14:textId="017DBBA2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78235FC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39A367AD" w14:textId="4613940C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69D16D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6431C09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3B66262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1569A22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134E369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0096C4F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1CB373B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573AAAD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5640C24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4887DD5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37B8C2C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51208DD0" w14:textId="12934B34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2918B2B" w14:textId="206801FA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133F9F0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3416886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759CCDE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3D86184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7295435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6E30D27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40A4A17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7099D28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4071FB1E" w14:textId="582EA431" w:rsidTr="00D04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</w:tcPr>
          <w:p w14:paraId="39292AD9" w14:textId="77777777" w:rsidR="00D0407D" w:rsidRPr="00C71340" w:rsidRDefault="00D0407D" w:rsidP="00D0407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29" w:type="dxa"/>
            <w:vMerge/>
          </w:tcPr>
          <w:p w14:paraId="7B5D89D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4E7CFF9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ED7D31" w:themeFill="accent2"/>
          </w:tcPr>
          <w:p w14:paraId="283F53F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ED7D31" w:themeFill="accent2"/>
          </w:tcPr>
          <w:p w14:paraId="2C668758" w14:textId="7859CDF6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29DC173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746310FC" w14:textId="001E6A2E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178F817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77669E0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36CA412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083316E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B02F85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2BFEA3B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2DC339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34B529D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511DC3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15B5C5D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1C9F69C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73E3E008" w14:textId="46148782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393AFB88" w14:textId="68ED550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26D0756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635114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5CE51D0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16DD0A8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4B3FB60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6334AA2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BBF1DB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105DBE2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5D527ACA" w14:textId="7754832E" w:rsidTr="00CD5AB0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 w:val="restart"/>
          </w:tcPr>
          <w:p w14:paraId="1E7BB6C0" w14:textId="77777777" w:rsidR="00D0407D" w:rsidRPr="00C71340" w:rsidRDefault="00D0407D" w:rsidP="00D0407D">
            <w:pPr>
              <w:spacing w:after="160" w:line="259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5029" w:type="dxa"/>
            <w:vMerge w:val="restart"/>
            <w:hideMark/>
          </w:tcPr>
          <w:p w14:paraId="0B1EAFF5" w14:textId="135CB629" w:rsidR="00D0407D" w:rsidRPr="00C71340" w:rsidRDefault="00D0407D" w:rsidP="00D0407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MOOC: Python for Geospatial Analyses using </w:t>
            </w:r>
            <w:proofErr w:type="spellStart"/>
            <w:r w:rsidRPr="00C713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WaPOR</w:t>
            </w:r>
            <w:proofErr w:type="spellEnd"/>
            <w:r w:rsidRPr="00C713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Data </w:t>
            </w:r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>(</w:t>
            </w: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Mul, Dehati)</w:t>
            </w:r>
          </w:p>
        </w:tc>
        <w:tc>
          <w:tcPr>
            <w:tcW w:w="323" w:type="dxa"/>
            <w:shd w:val="clear" w:color="auto" w:fill="auto"/>
          </w:tcPr>
          <w:p w14:paraId="3350F31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0FC6D55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8EAADB" w:themeFill="accent1" w:themeFillTint="99"/>
          </w:tcPr>
          <w:p w14:paraId="36E55785" w14:textId="2084553D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71CA0F5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8EAADB" w:themeFill="accent1" w:themeFillTint="99"/>
          </w:tcPr>
          <w:p w14:paraId="74181FB7" w14:textId="7B727A48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44D7ACF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110286F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4E5AF77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7CE3427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F391A0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0092F82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5535B8C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6FF8315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3CE21C3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4286D3F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7A544D0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627B88EC" w14:textId="2AAAED09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5B899E24" w14:textId="081681BB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1366909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D0320D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37293E9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74F51D7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7CF7203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04F1649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2D99B9C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0039719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588DF877" w14:textId="36C6E39A" w:rsidTr="00863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</w:tcPr>
          <w:p w14:paraId="72F3C27F" w14:textId="77777777" w:rsidR="00D0407D" w:rsidRPr="00C71340" w:rsidRDefault="00D0407D" w:rsidP="00D0407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29" w:type="dxa"/>
            <w:vMerge/>
          </w:tcPr>
          <w:p w14:paraId="0C7989D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2DA9886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5BE35B1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3C2B7D7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653FA41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ED7D31" w:themeFill="accent2"/>
          </w:tcPr>
          <w:p w14:paraId="6B7929D3" w14:textId="6FBA9DAB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ED7D31" w:themeFill="accent2"/>
          </w:tcPr>
          <w:p w14:paraId="22467D9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ED7D31" w:themeFill="accent2"/>
          </w:tcPr>
          <w:p w14:paraId="054BC52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ED7D31" w:themeFill="accent2"/>
          </w:tcPr>
          <w:p w14:paraId="46D7E3E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ED7D31" w:themeFill="accent2"/>
          </w:tcPr>
          <w:p w14:paraId="634DFFB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4258B6B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6065BDF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3A360E9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46D995F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45BBF1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0204894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1E65F1B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22BDB5FF" w14:textId="0F1B1E4C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EBD8C78" w14:textId="3840A319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78C2D89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5FD1D8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3A61E4A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1CE4C33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F5891C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6054032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3CA7CCE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0716649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662C707A" w14:textId="011CB378" w:rsidTr="00CD5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 w:val="restart"/>
          </w:tcPr>
          <w:p w14:paraId="0C032CB3" w14:textId="2DEDCA74" w:rsidR="00D0407D" w:rsidRPr="00C71340" w:rsidRDefault="00D0407D" w:rsidP="00D0407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 xml:space="preserve">4 </w:t>
            </w:r>
          </w:p>
        </w:tc>
        <w:tc>
          <w:tcPr>
            <w:tcW w:w="5029" w:type="dxa"/>
            <w:vMerge w:val="restart"/>
          </w:tcPr>
          <w:p w14:paraId="70D68127" w14:textId="27BBCB4C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C713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WaPOR</w:t>
            </w:r>
            <w:proofErr w:type="spellEnd"/>
            <w:r w:rsidRPr="00C713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validation </w:t>
            </w:r>
          </w:p>
        </w:tc>
        <w:tc>
          <w:tcPr>
            <w:tcW w:w="323" w:type="dxa"/>
            <w:shd w:val="clear" w:color="auto" w:fill="auto"/>
          </w:tcPr>
          <w:p w14:paraId="7025A2D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EE5CF2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147EC8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2181B19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8EAADB" w:themeFill="accent1" w:themeFillTint="99"/>
          </w:tcPr>
          <w:p w14:paraId="3F4A7C51" w14:textId="55866FF3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8EAADB" w:themeFill="accent1" w:themeFillTint="99"/>
          </w:tcPr>
          <w:p w14:paraId="279017E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5DF0D99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14:paraId="7BD97C2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617CEAB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14:paraId="1046373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70C0272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16AB8AB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4DF47BB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373A3BD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2748FF3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475CA1C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7146EB00" w14:textId="47F61A52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5017BC8B" w14:textId="62FBCF2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39A8F4D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1C6B05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5E68666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0440ABA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2F183F9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4BB6C2F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2B8A0DA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451DBD3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335B4066" w14:textId="20EFB5EE" w:rsidTr="00863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</w:tcPr>
          <w:p w14:paraId="41318411" w14:textId="77777777" w:rsidR="00D0407D" w:rsidRPr="00C71340" w:rsidRDefault="00D0407D" w:rsidP="00D0407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29" w:type="dxa"/>
            <w:vMerge/>
          </w:tcPr>
          <w:p w14:paraId="23A44F6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7185EF7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3A41718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7BADA0F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359F5CD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4F04D170" w14:textId="0785DDEC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14:paraId="06E3880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61E68CA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14:paraId="64AE8BC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17362CF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ED7D31" w:themeFill="accent2"/>
          </w:tcPr>
          <w:p w14:paraId="1467AC0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ED7D31" w:themeFill="accent2"/>
          </w:tcPr>
          <w:p w14:paraId="683ED65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4DB1ACF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3446102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7EE72C8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05AC4E6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48ABE79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7A0FECD8" w14:textId="47B6BE36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5A4B20E" w14:textId="48B2450D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1A4F89B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786422E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349AD7F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193FFB8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1763A48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570CAE4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84A7D6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2723221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D5AB0" w:rsidRPr="00C71340" w14:paraId="69608062" w14:textId="09DF696E" w:rsidTr="009408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488CD3B8" w14:textId="6593EE8F" w:rsidR="00CD5AB0" w:rsidRPr="00C71340" w:rsidRDefault="00CD5AB0" w:rsidP="00D0407D">
            <w:pP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3438" w:type="dxa"/>
            <w:gridSpan w:val="27"/>
          </w:tcPr>
          <w:p w14:paraId="5ADC66B8" w14:textId="3DB936C3" w:rsidR="00CD5AB0" w:rsidRPr="00C71340" w:rsidRDefault="00CD5AB0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713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WaPOR</w:t>
            </w:r>
            <w:proofErr w:type="spellEnd"/>
            <w:r w:rsidRPr="00C713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integration in WIS</w:t>
            </w: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 xml:space="preserve"> (Seyoum) (Palestine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 xml:space="preserve"> only group 1)</w:t>
            </w:r>
          </w:p>
        </w:tc>
      </w:tr>
      <w:tr w:rsidR="00D0407D" w:rsidRPr="00C71340" w14:paraId="00C9BF59" w14:textId="545D7ECE" w:rsidTr="00863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 w:val="restart"/>
          </w:tcPr>
          <w:p w14:paraId="3A4EE481" w14:textId="442DF735" w:rsidR="00D0407D" w:rsidRPr="00C71340" w:rsidRDefault="00D0407D" w:rsidP="00D0407D">
            <w:pPr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b w:val="0"/>
                <w:sz w:val="18"/>
                <w:szCs w:val="18"/>
              </w:rPr>
              <w:t>5.1</w:t>
            </w:r>
          </w:p>
        </w:tc>
        <w:tc>
          <w:tcPr>
            <w:tcW w:w="5029" w:type="dxa"/>
            <w:vMerge w:val="restart"/>
          </w:tcPr>
          <w:p w14:paraId="7FA0EF24" w14:textId="3A31E8C6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>Python scripting for estimating key water indicators</w:t>
            </w:r>
            <w:r w:rsidRPr="00C7134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(Seyoum)</w:t>
            </w:r>
          </w:p>
        </w:tc>
        <w:tc>
          <w:tcPr>
            <w:tcW w:w="323" w:type="dxa"/>
            <w:shd w:val="clear" w:color="auto" w:fill="auto"/>
          </w:tcPr>
          <w:p w14:paraId="5C0346D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5B2147F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659D9D4" w14:textId="59F3055B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5E7620B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0CC08035" w14:textId="36B525C1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10F08C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7FDE04B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1D7EB6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16B130C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1B5A8D8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1257713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8EAADB" w:themeFill="accent1" w:themeFillTint="99"/>
          </w:tcPr>
          <w:p w14:paraId="55CD246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26D1E69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14:paraId="47731AA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56000EC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49370DF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48259451" w14:textId="51190DE6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2A606CE" w14:textId="1C1AB885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1C37E04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1634B91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5478EA8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1B3C1ED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4E7CC0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148F0ED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57593E0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21D6762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6197397B" w14:textId="3B7ED343" w:rsidTr="00863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</w:tcPr>
          <w:p w14:paraId="55AF9DB2" w14:textId="476D01A7" w:rsidR="00D0407D" w:rsidRPr="00C71340" w:rsidRDefault="00D0407D" w:rsidP="00D0407D">
            <w:pPr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  <w:tc>
          <w:tcPr>
            <w:tcW w:w="5029" w:type="dxa"/>
            <w:vMerge/>
          </w:tcPr>
          <w:p w14:paraId="4D4194A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67F000A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0E5CD71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7D555BBB" w14:textId="26D32C72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1B92FCE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4EAD1210" w14:textId="74D146B8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09AD6D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2F30C69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7D3EF8C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73D9C78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4C931F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358F483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ED7D31" w:themeFill="accent2"/>
          </w:tcPr>
          <w:p w14:paraId="54D2649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ED7D31" w:themeFill="accent2"/>
          </w:tcPr>
          <w:p w14:paraId="266A8D7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0C1CB1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37858F0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5C4721E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78FF798D" w14:textId="6020902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5985E44" w14:textId="64B7C4A2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4164F95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59BD957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591C6F9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77A8985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2C274A6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5AEF707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56A8C94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0B7B942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3CDDABC4" w14:textId="1EF025DE" w:rsidTr="00863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 w:val="restart"/>
          </w:tcPr>
          <w:p w14:paraId="4B2D2BA1" w14:textId="3BE53B52" w:rsidR="00D0407D" w:rsidRPr="00C71340" w:rsidRDefault="00D0407D" w:rsidP="00D0407D">
            <w:pPr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b w:val="0"/>
                <w:sz w:val="18"/>
                <w:szCs w:val="18"/>
              </w:rPr>
              <w:t>5.2</w:t>
            </w:r>
          </w:p>
        </w:tc>
        <w:tc>
          <w:tcPr>
            <w:tcW w:w="5029" w:type="dxa"/>
            <w:vMerge w:val="restart"/>
          </w:tcPr>
          <w:p w14:paraId="1EEF94D5" w14:textId="59DE24AD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Analysing results and exporting data in relevant formats </w:t>
            </w: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(Seyoum)</w:t>
            </w:r>
          </w:p>
        </w:tc>
        <w:tc>
          <w:tcPr>
            <w:tcW w:w="323" w:type="dxa"/>
            <w:shd w:val="clear" w:color="auto" w:fill="auto"/>
          </w:tcPr>
          <w:p w14:paraId="682D84F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20F9FB5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35522263" w14:textId="1AB4B114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56D97B4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2AFE0E14" w14:textId="70FDE224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F6ECE2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08E6E96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1D94385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5A41E5A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D140A2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74D6C69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14:paraId="6E8CBCA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8EAADB" w:themeFill="accent1" w:themeFillTint="99"/>
          </w:tcPr>
          <w:p w14:paraId="282E6F5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1872559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5EFC417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40BACFD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6C373B33" w14:textId="2FED614F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754B4F49" w14:textId="7BE71C5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652D88E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1EE9B04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061B792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3D70555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812F7B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2D45B1D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0AB68E9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7DE96CD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0CEEBD7A" w14:textId="7F027BD4" w:rsidTr="00863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</w:tcPr>
          <w:p w14:paraId="1BDEAEF0" w14:textId="77777777" w:rsidR="00D0407D" w:rsidRPr="00C71340" w:rsidRDefault="00D0407D" w:rsidP="00D0407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29" w:type="dxa"/>
            <w:vMerge/>
          </w:tcPr>
          <w:p w14:paraId="48E9E02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4F48A35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675378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30AF076A" w14:textId="312B5554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23BB77F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45BC39EF" w14:textId="705C65D4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1076A2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74803C5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7697140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1CE8C66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90F761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51323E0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14:paraId="0F834F9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3B90352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ED7D31" w:themeFill="accent2"/>
          </w:tcPr>
          <w:p w14:paraId="2654245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ED7D31" w:themeFill="accent2"/>
          </w:tcPr>
          <w:p w14:paraId="573766C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0102238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44294779" w14:textId="59C54C04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501D04E" w14:textId="1DE70EA3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31A0FF8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876B01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4C4D122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7F9EE7D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7C02D4E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5DCE393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594A5CC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1D55658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D5AB0" w:rsidRPr="00C71340" w14:paraId="7E9E8A94" w14:textId="7024F370" w:rsidTr="00556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34CC57A0" w14:textId="20DF196F" w:rsidR="00CD5AB0" w:rsidRPr="00C71340" w:rsidRDefault="00CD5AB0" w:rsidP="00D0407D">
            <w:pPr>
              <w:rPr>
                <w:b w:val="0"/>
                <w:bCs w:val="0"/>
                <w:sz w:val="18"/>
                <w:szCs w:val="18"/>
                <w:lang w:val="en-US"/>
              </w:rPr>
            </w:pPr>
            <w:r w:rsidRPr="00C71340">
              <w:rPr>
                <w:sz w:val="18"/>
                <w:szCs w:val="18"/>
                <w:lang w:val="en-US"/>
              </w:rPr>
              <w:t xml:space="preserve">6 </w:t>
            </w:r>
          </w:p>
        </w:tc>
        <w:tc>
          <w:tcPr>
            <w:tcW w:w="13438" w:type="dxa"/>
            <w:gridSpan w:val="27"/>
          </w:tcPr>
          <w:p w14:paraId="549BF224" w14:textId="69F53130" w:rsidR="00CD5AB0" w:rsidRPr="00C71340" w:rsidRDefault="00CD5AB0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C71340">
              <w:rPr>
                <w:b/>
                <w:sz w:val="18"/>
                <w:szCs w:val="18"/>
                <w:lang w:val="en-US"/>
              </w:rPr>
              <w:t>Irrigation Groundwater Assessment (</w:t>
            </w:r>
            <w:proofErr w:type="spellStart"/>
            <w:r w:rsidRPr="00C71340">
              <w:rPr>
                <w:b/>
                <w:sz w:val="18"/>
                <w:szCs w:val="18"/>
                <w:lang w:val="en-US"/>
              </w:rPr>
              <w:t>IGwA</w:t>
            </w:r>
            <w:proofErr w:type="spellEnd"/>
            <w:r w:rsidRPr="00C71340">
              <w:rPr>
                <w:b/>
                <w:sz w:val="18"/>
                <w:szCs w:val="18"/>
                <w:lang w:val="en-US"/>
              </w:rPr>
              <w:t>)</w:t>
            </w:r>
            <w:r w:rsidRPr="00C71340">
              <w:rPr>
                <w:sz w:val="18"/>
                <w:szCs w:val="18"/>
                <w:lang w:val="en-US"/>
              </w:rPr>
              <w:t xml:space="preserve"> </w:t>
            </w:r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>(Elnaggar) (</w:t>
            </w: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Palestine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only group 2)</w:t>
            </w:r>
          </w:p>
        </w:tc>
      </w:tr>
      <w:tr w:rsidR="00D0407D" w:rsidRPr="00C71340" w14:paraId="7637CF1D" w14:textId="7DA542FD" w:rsidTr="00CD5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 w:val="restart"/>
          </w:tcPr>
          <w:p w14:paraId="273356EB" w14:textId="47DDC85F" w:rsidR="00D0407D" w:rsidRPr="00C71340" w:rsidRDefault="00D0407D" w:rsidP="00D0407D">
            <w:pPr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b w:val="0"/>
                <w:sz w:val="18"/>
                <w:szCs w:val="18"/>
              </w:rPr>
              <w:t>6.1</w:t>
            </w:r>
          </w:p>
        </w:tc>
        <w:tc>
          <w:tcPr>
            <w:tcW w:w="5029" w:type="dxa"/>
            <w:vMerge w:val="restart"/>
          </w:tcPr>
          <w:p w14:paraId="779A2C11" w14:textId="6F1F93B9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>Overview of Google Earth Engine (GEE)</w:t>
            </w:r>
          </w:p>
        </w:tc>
        <w:tc>
          <w:tcPr>
            <w:tcW w:w="323" w:type="dxa"/>
            <w:shd w:val="clear" w:color="auto" w:fill="auto"/>
          </w:tcPr>
          <w:p w14:paraId="709978F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4201E80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F784E2E" w14:textId="39DF2E59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7AFC546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2573B6C9" w14:textId="35C25324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591CEBE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3C6F589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8EAADB" w:themeFill="accent1" w:themeFillTint="99"/>
          </w:tcPr>
          <w:p w14:paraId="774B4C4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4E75D71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3847BB8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4E41C67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898BB2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4DFAB32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720F97D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235FA42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5D64E9C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6E5A7EBA" w14:textId="1077C24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F92EF12" w14:textId="205EC28E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7A79DEF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493D6E5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37F7DD4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3EA7122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4A6B0DC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289D0D6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40174E6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4807E40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2BCD2D27" w14:textId="71C41E7C" w:rsidTr="00D04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</w:tcPr>
          <w:p w14:paraId="40165045" w14:textId="77777777" w:rsidR="00D0407D" w:rsidRPr="00C71340" w:rsidRDefault="00D0407D" w:rsidP="00D0407D">
            <w:pPr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  <w:tc>
          <w:tcPr>
            <w:tcW w:w="5029" w:type="dxa"/>
            <w:vMerge/>
          </w:tcPr>
          <w:p w14:paraId="3312437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5EB2A88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06F9539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609637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123746F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51396CE6" w14:textId="3D3E184E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31394E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4143A06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5A6E7F3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5C143AD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F22820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39E42A2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131F68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74CC7E0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40AACB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5227E2B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6FE90F4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7BB2A267" w14:textId="03690B74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ED7D31" w:themeFill="accent2"/>
          </w:tcPr>
          <w:p w14:paraId="08914227" w14:textId="20BC87CE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47A378D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55F52B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14F5912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193A420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C0D8D4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0E6EDF0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4159FA9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0BD2667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52CA6CE7" w14:textId="21B2DBE6" w:rsidTr="00CD5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 w:val="restart"/>
          </w:tcPr>
          <w:p w14:paraId="287E053D" w14:textId="5DCB142A" w:rsidR="00D0407D" w:rsidRPr="00C71340" w:rsidRDefault="00D0407D" w:rsidP="00D0407D">
            <w:pPr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b w:val="0"/>
                <w:sz w:val="18"/>
                <w:szCs w:val="18"/>
              </w:rPr>
              <w:t>6.2</w:t>
            </w:r>
          </w:p>
        </w:tc>
        <w:tc>
          <w:tcPr>
            <w:tcW w:w="5029" w:type="dxa"/>
            <w:vMerge w:val="restart"/>
          </w:tcPr>
          <w:p w14:paraId="059BAC9C" w14:textId="21467D58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Fundamentals of </w:t>
            </w:r>
            <w:proofErr w:type="spellStart"/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>IGwA</w:t>
            </w:r>
            <w:proofErr w:type="spellEnd"/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3" w:type="dxa"/>
            <w:shd w:val="clear" w:color="auto" w:fill="auto"/>
          </w:tcPr>
          <w:p w14:paraId="4039A00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BF518A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D727E95" w14:textId="5E2FD46C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4140343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780E7BE5" w14:textId="6DAA81BD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3E795C0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1E9021C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8EAADB" w:themeFill="accent1" w:themeFillTint="99"/>
          </w:tcPr>
          <w:p w14:paraId="0001504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52D8617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8B1509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3145DFD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FADB28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3C03E97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54616EC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29B2CC8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2A6904C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0C9A4168" w14:textId="5AFCAC40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4126A2C5" w14:textId="0F0D4EF2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51A4C5E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4F4037E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56ACF86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3B0A035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0DFD701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6507C50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20DF6CE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65AABE2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1E14480C" w14:textId="624DAF77" w:rsidTr="00D04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</w:tcPr>
          <w:p w14:paraId="53ED5535" w14:textId="77777777" w:rsidR="00D0407D" w:rsidRPr="00C71340" w:rsidRDefault="00D0407D" w:rsidP="00D0407D">
            <w:pPr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  <w:tc>
          <w:tcPr>
            <w:tcW w:w="5029" w:type="dxa"/>
            <w:vMerge/>
          </w:tcPr>
          <w:p w14:paraId="52EAAA1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0F8B49E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D9E38A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9F0E29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776A27E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5931BF67" w14:textId="571FBB88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488B89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6C1F7C4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EF0C6A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4601DA7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50280E3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2BB5D97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7A63F49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67AACFD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1EF56C7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6E3E10D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0F54646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6BB7F5E2" w14:textId="19E8B42A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484ECB86" w14:textId="14CBDBB2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ED7D31" w:themeFill="accent2"/>
          </w:tcPr>
          <w:p w14:paraId="11E2B9A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41F9440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12B3FD9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49BD5CE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7C29CA1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6F934AC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73898A2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5951452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16C6DB7B" w14:textId="1DD658E9" w:rsidTr="00CD5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 w:val="restart"/>
            <w:hideMark/>
          </w:tcPr>
          <w:p w14:paraId="403D817B" w14:textId="481B45D9" w:rsidR="00D0407D" w:rsidRPr="00C71340" w:rsidRDefault="00D0407D" w:rsidP="00D0407D">
            <w:pPr>
              <w:spacing w:after="160" w:line="259" w:lineRule="auto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b w:val="0"/>
                <w:sz w:val="18"/>
                <w:szCs w:val="18"/>
              </w:rPr>
              <w:t>6.3</w:t>
            </w:r>
          </w:p>
        </w:tc>
        <w:tc>
          <w:tcPr>
            <w:tcW w:w="5029" w:type="dxa"/>
            <w:vMerge w:val="restart"/>
            <w:hideMark/>
          </w:tcPr>
          <w:p w14:paraId="129D2D51" w14:textId="3B0629FF" w:rsidR="00D0407D" w:rsidRPr="00C71340" w:rsidRDefault="00D0407D" w:rsidP="00D0407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sz w:val="18"/>
                <w:szCs w:val="18"/>
              </w:rPr>
              <w:t xml:space="preserve">Setting Up GEE Pipelines and Downloading </w:t>
            </w:r>
            <w:proofErr w:type="spellStart"/>
            <w:r w:rsidRPr="00C71340">
              <w:rPr>
                <w:rFonts w:asciiTheme="majorHAnsi" w:hAnsiTheme="majorHAnsi" w:cstheme="majorHAnsi"/>
                <w:sz w:val="18"/>
                <w:szCs w:val="18"/>
              </w:rPr>
              <w:t>WaPOR</w:t>
            </w:r>
            <w:proofErr w:type="spellEnd"/>
            <w:r w:rsidRPr="00C71340">
              <w:rPr>
                <w:rFonts w:asciiTheme="majorHAnsi" w:hAnsiTheme="majorHAnsi" w:cstheme="majorHAnsi"/>
                <w:sz w:val="18"/>
                <w:szCs w:val="18"/>
              </w:rPr>
              <w:t xml:space="preserve"> Data </w:t>
            </w:r>
          </w:p>
        </w:tc>
        <w:tc>
          <w:tcPr>
            <w:tcW w:w="323" w:type="dxa"/>
            <w:shd w:val="clear" w:color="auto" w:fill="auto"/>
            <w:hideMark/>
          </w:tcPr>
          <w:p w14:paraId="32E049E7" w14:textId="77777777" w:rsidR="00D0407D" w:rsidRPr="00C71340" w:rsidRDefault="00D0407D" w:rsidP="00D0407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8B1F4E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980AC99" w14:textId="34C0EF88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5EDA68C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39A85E10" w14:textId="3E8A6891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4068F40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2A41229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8EAADB" w:themeFill="accent1" w:themeFillTint="99"/>
          </w:tcPr>
          <w:p w14:paraId="2698CD2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2C9F2C8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388E0F9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78B4170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2227B8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4E84C6A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1E693A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5D892D4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7C4BF81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196A1E4D" w14:textId="339BD520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4C4296B5" w14:textId="0B60BE1D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4296E40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1484E2C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1F62720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4FB37C0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56DAADE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4D92363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14BDD14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431DAC8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78770220" w14:textId="64706E43" w:rsidTr="00D04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</w:tcPr>
          <w:p w14:paraId="3D271AA6" w14:textId="77777777" w:rsidR="00D0407D" w:rsidRPr="00C71340" w:rsidRDefault="00D0407D" w:rsidP="00D0407D">
            <w:pPr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  <w:tc>
          <w:tcPr>
            <w:tcW w:w="5029" w:type="dxa"/>
            <w:vMerge/>
          </w:tcPr>
          <w:p w14:paraId="20362B8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59315A2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555C37C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4DD57EB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452C7A9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126A80F5" w14:textId="7BF3706A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1AE1E80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678E669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5D03D00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7651914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324076F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6E1FBD1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52A6D8E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65DBE7F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405EC49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17037FC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7F45107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3DC1BE4C" w14:textId="0978EDBD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EA90192" w14:textId="1719398E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04ADE54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ED7D31" w:themeFill="accent2"/>
          </w:tcPr>
          <w:p w14:paraId="1E429BB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7C5C355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1D568D9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3E7708E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1115EA2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576A069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4842FB8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1CE7EAA2" w14:textId="4CB80ED5" w:rsidTr="00CD5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 w:val="restart"/>
            <w:hideMark/>
          </w:tcPr>
          <w:p w14:paraId="65DEA89E" w14:textId="6FA55A07" w:rsidR="00D0407D" w:rsidRPr="00C71340" w:rsidRDefault="00D0407D" w:rsidP="00D0407D">
            <w:pPr>
              <w:spacing w:after="160" w:line="259" w:lineRule="auto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b w:val="0"/>
                <w:sz w:val="18"/>
                <w:szCs w:val="18"/>
              </w:rPr>
              <w:t>6.4</w:t>
            </w:r>
          </w:p>
        </w:tc>
        <w:tc>
          <w:tcPr>
            <w:tcW w:w="5029" w:type="dxa"/>
            <w:vMerge w:val="restart"/>
            <w:hideMark/>
          </w:tcPr>
          <w:p w14:paraId="29F79250" w14:textId="7685FB2B" w:rsidR="00D0407D" w:rsidRPr="00C71340" w:rsidRDefault="00D0407D" w:rsidP="00D0407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GEE and </w:t>
            </w:r>
            <w:proofErr w:type="spellStart"/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>WaPOR</w:t>
            </w:r>
            <w:proofErr w:type="spellEnd"/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: From Data </w:t>
            </w:r>
            <w:proofErr w:type="spellStart"/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>Preprocessing</w:t>
            </w:r>
            <w:proofErr w:type="spellEnd"/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to Analysis </w:t>
            </w:r>
          </w:p>
        </w:tc>
        <w:tc>
          <w:tcPr>
            <w:tcW w:w="323" w:type="dxa"/>
            <w:shd w:val="clear" w:color="auto" w:fill="auto"/>
            <w:hideMark/>
          </w:tcPr>
          <w:p w14:paraId="19B4C388" w14:textId="77777777" w:rsidR="00D0407D" w:rsidRPr="00C71340" w:rsidRDefault="00D0407D" w:rsidP="00D0407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412F704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DE60C36" w14:textId="0E0DC446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5D5FCAD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67E3A65D" w14:textId="56678B81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19D7A34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78E6D9F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14:paraId="4687898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8EAADB" w:themeFill="accent1" w:themeFillTint="99"/>
          </w:tcPr>
          <w:p w14:paraId="12BF24B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4983A85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4FE136D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51F65D8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642A076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448CACE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5CE6240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474AC3E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561630A9" w14:textId="1794ECBD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59771879" w14:textId="4CAE4EE9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231FB42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3AECD34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0BA5F7B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7D82714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3A1A10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3B30669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076448B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4C1DE25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138AD309" w14:textId="3180D8BB" w:rsidTr="00D04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</w:tcPr>
          <w:p w14:paraId="687E32E4" w14:textId="77777777" w:rsidR="00D0407D" w:rsidRPr="00C71340" w:rsidRDefault="00D0407D" w:rsidP="00D0407D">
            <w:pPr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  <w:tc>
          <w:tcPr>
            <w:tcW w:w="5029" w:type="dxa"/>
            <w:vMerge/>
          </w:tcPr>
          <w:p w14:paraId="4C7339F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7B84344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19D5E5A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3DD70B8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777CBAA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7DE33E05" w14:textId="3EF5D1C1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11CF343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5511DE5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14:paraId="298BA5B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6D605B5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49C922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25A0176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9AF4CA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251B470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281AF0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2CFB2AB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5E91BEB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6EAB53DE" w14:textId="1A4B8749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423F881" w14:textId="2C55B271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530154B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751BC0E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ED7D31" w:themeFill="accent2"/>
          </w:tcPr>
          <w:p w14:paraId="44C34DC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575259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2FCACD5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1037587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16CEA1F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37074F7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0E543DA2" w14:textId="2E8006F5" w:rsidTr="00CD5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 w:val="restart"/>
            <w:hideMark/>
          </w:tcPr>
          <w:p w14:paraId="0820FBCE" w14:textId="6388C2CA" w:rsidR="00D0407D" w:rsidRPr="00C71340" w:rsidRDefault="00D0407D" w:rsidP="00D0407D">
            <w:pPr>
              <w:spacing w:after="160" w:line="259" w:lineRule="auto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b w:val="0"/>
                <w:sz w:val="18"/>
                <w:szCs w:val="18"/>
              </w:rPr>
              <w:t>6.5</w:t>
            </w:r>
          </w:p>
        </w:tc>
        <w:tc>
          <w:tcPr>
            <w:tcW w:w="5029" w:type="dxa"/>
            <w:vMerge w:val="restart"/>
            <w:hideMark/>
          </w:tcPr>
          <w:p w14:paraId="7468D517" w14:textId="0D01912B" w:rsidR="00D0407D" w:rsidRPr="00C71340" w:rsidRDefault="00D0407D" w:rsidP="00D0407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>Modeling</w:t>
            </w:r>
            <w:proofErr w:type="spellEnd"/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Irrigation Groundwater Dynamics: Abstraction and Recharge </w:t>
            </w:r>
          </w:p>
        </w:tc>
        <w:tc>
          <w:tcPr>
            <w:tcW w:w="323" w:type="dxa"/>
            <w:shd w:val="clear" w:color="auto" w:fill="auto"/>
            <w:hideMark/>
          </w:tcPr>
          <w:p w14:paraId="74C3C99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4C70EE6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123BCE0" w14:textId="53F3D64B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5D3BCD4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6DFAE486" w14:textId="07121EFF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4107F8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3829E5E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14:paraId="2F772F9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8EAADB" w:themeFill="accent1" w:themeFillTint="99"/>
          </w:tcPr>
          <w:p w14:paraId="7E92C56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1155E6C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71BF08F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30C77E7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3A39297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3CD10C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6F10E67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256D132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2480D728" w14:textId="184EE32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21668B7" w14:textId="3DBD5C0B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0F6DFFB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1CE5430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0BB7062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1519C66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79E8BFD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5B71912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067AAB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0097BB7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0CCA56C1" w14:textId="57FFDBF6" w:rsidTr="00D0407D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</w:tcPr>
          <w:p w14:paraId="466A89C0" w14:textId="77777777" w:rsidR="00D0407D" w:rsidRPr="00C71340" w:rsidRDefault="00D0407D" w:rsidP="00D0407D">
            <w:pPr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  <w:tc>
          <w:tcPr>
            <w:tcW w:w="5029" w:type="dxa"/>
            <w:vMerge/>
          </w:tcPr>
          <w:p w14:paraId="0033580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4CC3DC4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10E584C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502496D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2A9FA4C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26BCC028" w14:textId="5A3E7F1F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32247B8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3CA397F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14:paraId="6B0A128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7C76CF6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74FF084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76ED09E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7EA267E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377888D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626996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2CB70D0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29FD715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6BEA8C12" w14:textId="6483A929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31D85445" w14:textId="7DCAE61B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5325AFF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7DC427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07EF924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ED7D31" w:themeFill="accent2"/>
          </w:tcPr>
          <w:p w14:paraId="7D8BC36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2E3DB3B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7B5E8F7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121C55A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0DA63F6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162BCD0A" w14:textId="3DDAA829" w:rsidTr="00CD5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 w:val="restart"/>
            <w:hideMark/>
          </w:tcPr>
          <w:p w14:paraId="50CD35FC" w14:textId="0BAD6030" w:rsidR="00D0407D" w:rsidRPr="00C71340" w:rsidRDefault="00D0407D" w:rsidP="00D0407D">
            <w:pPr>
              <w:spacing w:after="160" w:line="259" w:lineRule="auto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b w:val="0"/>
                <w:sz w:val="18"/>
                <w:szCs w:val="18"/>
              </w:rPr>
              <w:t>6.6</w:t>
            </w:r>
          </w:p>
        </w:tc>
        <w:tc>
          <w:tcPr>
            <w:tcW w:w="5029" w:type="dxa"/>
            <w:vMerge w:val="restart"/>
            <w:hideMark/>
          </w:tcPr>
          <w:p w14:paraId="6B9CDEFC" w14:textId="7A02911F" w:rsidR="00D0407D" w:rsidRPr="00C71340" w:rsidRDefault="00D0407D" w:rsidP="00D0407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>Model Validation, and Stress Indicators</w:t>
            </w:r>
          </w:p>
        </w:tc>
        <w:tc>
          <w:tcPr>
            <w:tcW w:w="323" w:type="dxa"/>
            <w:hideMark/>
          </w:tcPr>
          <w:p w14:paraId="7C234C9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C4A7A6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12254C8B" w14:textId="7EBE7990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1D24E95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747D6A1D" w14:textId="49820C76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3B620B0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2FD499C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12B6D3E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5841151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8EAADB" w:themeFill="accent1" w:themeFillTint="99"/>
          </w:tcPr>
          <w:p w14:paraId="5FDDE4E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1DF79B1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092FA87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59624C0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68AE712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172D9F3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5BBCEF9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1CD2A084" w14:textId="7AF31D6E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2922675E" w14:textId="200C8EE5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7AE81D5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7642B12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57EDC80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4B6686E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07481EA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6A12F5C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1D2985B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0871F5A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3A6E1E17" w14:textId="16E9C975" w:rsidTr="00D0407D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</w:tcPr>
          <w:p w14:paraId="16198ACB" w14:textId="77777777" w:rsidR="00D0407D" w:rsidRPr="00C71340" w:rsidRDefault="00D0407D" w:rsidP="00D0407D">
            <w:pPr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  <w:tc>
          <w:tcPr>
            <w:tcW w:w="5029" w:type="dxa"/>
            <w:vMerge/>
          </w:tcPr>
          <w:p w14:paraId="6CEE400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323" w:type="dxa"/>
          </w:tcPr>
          <w:p w14:paraId="0B1AFB7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252D398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5304C63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55BE653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7934DB1B" w14:textId="2C18FD69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7BC6A4A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0EA8631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6CEDD53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7B18E4A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14:paraId="050A01C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BF371B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755EFA7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57BC421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6C40142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6E7DFCB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072F5C3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49697F9B" w14:textId="7A40133F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71519439" w14:textId="576499B4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1B0455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426022F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7D2974A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11B1582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ED7D31" w:themeFill="accent2"/>
          </w:tcPr>
          <w:p w14:paraId="128060F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7544E38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</w:tcPr>
          <w:p w14:paraId="4224232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1E2536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31D8B870" w14:textId="02A6CF0C" w:rsidTr="00CD5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 w:val="restart"/>
            <w:hideMark/>
          </w:tcPr>
          <w:p w14:paraId="2965C570" w14:textId="2E706BA2" w:rsidR="00D0407D" w:rsidRPr="00C71340" w:rsidRDefault="00D0407D" w:rsidP="00D0407D">
            <w:pPr>
              <w:spacing w:after="160" w:line="259" w:lineRule="auto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b w:val="0"/>
                <w:sz w:val="18"/>
                <w:szCs w:val="18"/>
              </w:rPr>
              <w:t>6.7</w:t>
            </w:r>
          </w:p>
        </w:tc>
        <w:tc>
          <w:tcPr>
            <w:tcW w:w="5029" w:type="dxa"/>
            <w:vMerge w:val="restart"/>
            <w:hideMark/>
          </w:tcPr>
          <w:p w14:paraId="40541422" w14:textId="102ACB82" w:rsidR="00D0407D" w:rsidRPr="00C71340" w:rsidRDefault="00D0407D" w:rsidP="00D0407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Introduction to </w:t>
            </w:r>
            <w:proofErr w:type="spellStart"/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>IGwA</w:t>
            </w:r>
            <w:proofErr w:type="spellEnd"/>
            <w:r w:rsidRPr="00C7134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dashboard for visualizing and communicating findings </w:t>
            </w:r>
          </w:p>
        </w:tc>
        <w:tc>
          <w:tcPr>
            <w:tcW w:w="323" w:type="dxa"/>
            <w:hideMark/>
          </w:tcPr>
          <w:p w14:paraId="749529E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0DD04B8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6F473CAD" w14:textId="0045B8D4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478C025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28122CE5" w14:textId="043D87B6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5DDD8BB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6962DAA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745AD9D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69D7BF1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8EAADB" w:themeFill="accent1" w:themeFillTint="99"/>
          </w:tcPr>
          <w:p w14:paraId="3B575F5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8EAADB" w:themeFill="accent1" w:themeFillTint="99"/>
          </w:tcPr>
          <w:p w14:paraId="6C71F23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2C690821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5A469EC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113D226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4519722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4B5931A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1C610016" w14:textId="3EF15511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7E4FAFE8" w14:textId="6F5148C1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30098B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7C84D9F2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7B9E45C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047EA67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2561CEE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49B34B7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11DF02C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5461A20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407D" w:rsidRPr="00C71340" w14:paraId="466FC152" w14:textId="4092AA63" w:rsidTr="00CD5AB0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</w:tcPr>
          <w:p w14:paraId="1AC6A179" w14:textId="77777777" w:rsidR="00D0407D" w:rsidRPr="00C71340" w:rsidRDefault="00D0407D" w:rsidP="00D0407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29" w:type="dxa"/>
            <w:vMerge/>
          </w:tcPr>
          <w:p w14:paraId="512D6CC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323" w:type="dxa"/>
          </w:tcPr>
          <w:p w14:paraId="56B4107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54E8D28A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02E1D72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5B4FF77F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2D076635" w14:textId="6142D0C5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0FE8C8D7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706D927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36986EB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10DD3995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14:paraId="11F6B258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402489B3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54C3668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674216D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6D7364B0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73EC25D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14:paraId="33F3602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393B7EDD" w14:textId="37D2FAFC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7EEA9651" w14:textId="504D1C1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08958E4D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6C80D099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24CF795E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</w:tcPr>
          <w:p w14:paraId="7844115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</w:tcPr>
          <w:p w14:paraId="515BB0C6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ED7D31" w:themeFill="accent2"/>
          </w:tcPr>
          <w:p w14:paraId="2E71BDFB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ED7D31" w:themeFill="accent2"/>
          </w:tcPr>
          <w:p w14:paraId="026393AC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ED7D31" w:themeFill="accent2"/>
          </w:tcPr>
          <w:p w14:paraId="559F6464" w14:textId="77777777" w:rsidR="00D0407D" w:rsidRPr="00C71340" w:rsidRDefault="00D0407D" w:rsidP="00D04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83A10FB" w14:textId="07FAB612" w:rsidR="005B0706" w:rsidRPr="005B0706" w:rsidRDefault="005B0706" w:rsidP="005B0706">
      <w:pPr>
        <w:rPr>
          <w:rFonts w:asciiTheme="majorHAnsi" w:hAnsiTheme="majorHAnsi" w:cstheme="majorHAnsi"/>
        </w:rPr>
      </w:pPr>
    </w:p>
    <w:sectPr w:rsidR="005B0706" w:rsidRPr="005B0706" w:rsidSect="00C713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74C86" w14:textId="77777777" w:rsidR="00454BE5" w:rsidRDefault="00454BE5" w:rsidP="00C71340">
      <w:pPr>
        <w:spacing w:after="0" w:line="240" w:lineRule="auto"/>
      </w:pPr>
      <w:r>
        <w:separator/>
      </w:r>
    </w:p>
  </w:endnote>
  <w:endnote w:type="continuationSeparator" w:id="0">
    <w:p w14:paraId="6E9EC7F4" w14:textId="77777777" w:rsidR="00454BE5" w:rsidRDefault="00454BE5" w:rsidP="00C7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8E90C" w14:textId="77777777" w:rsidR="00454BE5" w:rsidRDefault="00454BE5" w:rsidP="00C71340">
      <w:pPr>
        <w:spacing w:after="0" w:line="240" w:lineRule="auto"/>
      </w:pPr>
      <w:r>
        <w:separator/>
      </w:r>
    </w:p>
  </w:footnote>
  <w:footnote w:type="continuationSeparator" w:id="0">
    <w:p w14:paraId="75B0603F" w14:textId="77777777" w:rsidR="00454BE5" w:rsidRDefault="00454BE5" w:rsidP="00C71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84D0E"/>
    <w:multiLevelType w:val="multilevel"/>
    <w:tmpl w:val="BF90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FF183D"/>
    <w:multiLevelType w:val="multilevel"/>
    <w:tmpl w:val="41D4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CE6561"/>
    <w:multiLevelType w:val="multilevel"/>
    <w:tmpl w:val="F99E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06"/>
    <w:rsid w:val="000100D5"/>
    <w:rsid w:val="00054137"/>
    <w:rsid w:val="0007588E"/>
    <w:rsid w:val="00104959"/>
    <w:rsid w:val="001072F7"/>
    <w:rsid w:val="00153A14"/>
    <w:rsid w:val="00195ADE"/>
    <w:rsid w:val="001E6DEC"/>
    <w:rsid w:val="002E1BB6"/>
    <w:rsid w:val="00326EBE"/>
    <w:rsid w:val="00381A75"/>
    <w:rsid w:val="003919AB"/>
    <w:rsid w:val="004161AE"/>
    <w:rsid w:val="00440E7B"/>
    <w:rsid w:val="00454BE5"/>
    <w:rsid w:val="00496C98"/>
    <w:rsid w:val="004B3FE7"/>
    <w:rsid w:val="005436EB"/>
    <w:rsid w:val="005827F8"/>
    <w:rsid w:val="005835DD"/>
    <w:rsid w:val="005B0706"/>
    <w:rsid w:val="00625A29"/>
    <w:rsid w:val="00675818"/>
    <w:rsid w:val="006C63B2"/>
    <w:rsid w:val="006C73A1"/>
    <w:rsid w:val="006E5A0A"/>
    <w:rsid w:val="00715A22"/>
    <w:rsid w:val="00761324"/>
    <w:rsid w:val="008123D2"/>
    <w:rsid w:val="008365EC"/>
    <w:rsid w:val="008578B3"/>
    <w:rsid w:val="00863E5B"/>
    <w:rsid w:val="00891B2A"/>
    <w:rsid w:val="008A1F27"/>
    <w:rsid w:val="008F6EFB"/>
    <w:rsid w:val="00913A6A"/>
    <w:rsid w:val="00921645"/>
    <w:rsid w:val="00951F4F"/>
    <w:rsid w:val="009726E9"/>
    <w:rsid w:val="009B0891"/>
    <w:rsid w:val="00A340AA"/>
    <w:rsid w:val="00A36C10"/>
    <w:rsid w:val="00A83E32"/>
    <w:rsid w:val="00AF0EB4"/>
    <w:rsid w:val="00B72F26"/>
    <w:rsid w:val="00BC0BF1"/>
    <w:rsid w:val="00BC3381"/>
    <w:rsid w:val="00BE0E85"/>
    <w:rsid w:val="00C71340"/>
    <w:rsid w:val="00C752D9"/>
    <w:rsid w:val="00C927EE"/>
    <w:rsid w:val="00CA567A"/>
    <w:rsid w:val="00CD5AB0"/>
    <w:rsid w:val="00D0407D"/>
    <w:rsid w:val="00D16281"/>
    <w:rsid w:val="00D2708C"/>
    <w:rsid w:val="00D31664"/>
    <w:rsid w:val="00D31818"/>
    <w:rsid w:val="00D35856"/>
    <w:rsid w:val="00D7304B"/>
    <w:rsid w:val="00DE07A0"/>
    <w:rsid w:val="00DF4524"/>
    <w:rsid w:val="00E20E42"/>
    <w:rsid w:val="00E23B72"/>
    <w:rsid w:val="00E429DF"/>
    <w:rsid w:val="00E45CBF"/>
    <w:rsid w:val="00E81F23"/>
    <w:rsid w:val="00EA49B4"/>
    <w:rsid w:val="00EA4D68"/>
    <w:rsid w:val="00EB54D7"/>
    <w:rsid w:val="00ED41FB"/>
    <w:rsid w:val="00FE2996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159294"/>
  <w15:chartTrackingRefBased/>
  <w15:docId w15:val="{7378D6C4-963B-42EF-9303-928782E2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5B070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070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F23"/>
    <w:rPr>
      <w:rFonts w:ascii="Segoe UI" w:hAnsi="Segoe UI" w:cs="Segoe UI"/>
      <w:sz w:val="18"/>
      <w:szCs w:val="18"/>
    </w:rPr>
  </w:style>
  <w:style w:type="table" w:styleId="PlainTable5">
    <w:name w:val="Plain Table 5"/>
    <w:basedOn w:val="TableNormal"/>
    <w:uiPriority w:val="45"/>
    <w:rsid w:val="00E81F2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E81F2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53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A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A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A1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1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340"/>
  </w:style>
  <w:style w:type="paragraph" w:styleId="Footer">
    <w:name w:val="footer"/>
    <w:basedOn w:val="Normal"/>
    <w:link w:val="FooterChar"/>
    <w:uiPriority w:val="99"/>
    <w:unhideWhenUsed/>
    <w:rsid w:val="00C71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IHE Delft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Elnaggar</dc:creator>
  <cp:keywords/>
  <dc:description/>
  <cp:lastModifiedBy>Marloes Mul</cp:lastModifiedBy>
  <cp:revision>3</cp:revision>
  <cp:lastPrinted>2025-03-12T15:04:00Z</cp:lastPrinted>
  <dcterms:created xsi:type="dcterms:W3CDTF">2025-03-12T15:13:00Z</dcterms:created>
  <dcterms:modified xsi:type="dcterms:W3CDTF">2025-03-24T12:42:00Z</dcterms:modified>
</cp:coreProperties>
</file>