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C484" w14:textId="352D208A" w:rsidR="000C2B82" w:rsidRDefault="009C33E3" w:rsidP="000C2B82">
      <w:pPr>
        <w:pStyle w:val="Subtitle"/>
        <w:jc w:val="left"/>
      </w:pPr>
      <w:r>
        <w:t>MOTA role play</w:t>
      </w:r>
    </w:p>
    <w:p w14:paraId="2580095E" w14:textId="034E156F" w:rsidR="00EA639E" w:rsidRDefault="00524E4A" w:rsidP="009C33E3">
      <w:pPr>
        <w:pStyle w:val="Heading1"/>
      </w:pPr>
      <w:r>
        <w:t>Part 1</w:t>
      </w:r>
      <w:r w:rsidR="00473451">
        <w:t>:</w:t>
      </w:r>
      <w:r>
        <w:t xml:space="preserve"> </w:t>
      </w:r>
    </w:p>
    <w:p w14:paraId="617B2CFF" w14:textId="46E4F103" w:rsidR="009C33E3" w:rsidRDefault="009C33E3" w:rsidP="009C33E3">
      <w:r>
        <w:t xml:space="preserve">Stakeholder: </w:t>
      </w:r>
    </w:p>
    <w:p w14:paraId="634DDBAA" w14:textId="77777777" w:rsidR="009C33E3" w:rsidRPr="009C33E3" w:rsidRDefault="009C33E3" w:rsidP="009C33E3"/>
    <w:p w14:paraId="3BF41272" w14:textId="77777777" w:rsidR="000C2B82" w:rsidRDefault="00EA639E" w:rsidP="00EA639E">
      <w:pPr>
        <w:pStyle w:val="Heading2"/>
      </w:pPr>
      <w:r>
        <w:t xml:space="preserve">Step 1: </w:t>
      </w:r>
      <w:r w:rsidR="000C2B82">
        <w:t xml:space="preserve">Motivation index </w:t>
      </w:r>
    </w:p>
    <w:p w14:paraId="1D747B34" w14:textId="77777777" w:rsidR="008678BE" w:rsidRDefault="00484F76" w:rsidP="008678BE">
      <w:pPr>
        <w:spacing w:after="240"/>
      </w:pPr>
      <w:r>
        <w:t xml:space="preserve">As </w:t>
      </w:r>
      <w:r w:rsidR="007B755B">
        <w:t>we need to do something to improve the situation</w:t>
      </w:r>
      <w:r>
        <w:t>, give your opinion about the options provided in table 1.</w:t>
      </w:r>
      <w:r w:rsidR="00F73D62">
        <w:t xml:space="preserve"> </w:t>
      </w:r>
    </w:p>
    <w:tbl>
      <w:tblPr>
        <w:tblStyle w:val="TableGrid"/>
        <w:tblW w:w="9245" w:type="dxa"/>
        <w:tblLook w:val="04A0" w:firstRow="1" w:lastRow="0" w:firstColumn="1" w:lastColumn="0" w:noHBand="0" w:noVBand="1"/>
      </w:tblPr>
      <w:tblGrid>
        <w:gridCol w:w="1264"/>
        <w:gridCol w:w="1755"/>
        <w:gridCol w:w="1408"/>
        <w:gridCol w:w="1407"/>
        <w:gridCol w:w="1408"/>
        <w:gridCol w:w="2003"/>
      </w:tblGrid>
      <w:tr w:rsidR="00F319BC" w14:paraId="5F00BED0" w14:textId="77777777" w:rsidTr="00F319BC">
        <w:tc>
          <w:tcPr>
            <w:tcW w:w="1188" w:type="dxa"/>
          </w:tcPr>
          <w:p w14:paraId="18A740ED" w14:textId="77777777" w:rsidR="00F319BC" w:rsidRDefault="00F319BC" w:rsidP="00F319BC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773" w:type="dxa"/>
            <w:vAlign w:val="center"/>
          </w:tcPr>
          <w:p w14:paraId="63727F10" w14:textId="77777777" w:rsidR="00F319BC" w:rsidRPr="00F319BC" w:rsidRDefault="00F319BC" w:rsidP="00F319BC">
            <w:pPr>
              <w:jc w:val="center"/>
            </w:pPr>
            <w:r w:rsidRPr="00F319BC">
              <w:t>Strongly oppose</w:t>
            </w:r>
          </w:p>
        </w:tc>
        <w:tc>
          <w:tcPr>
            <w:tcW w:w="1419" w:type="dxa"/>
            <w:vAlign w:val="center"/>
          </w:tcPr>
          <w:p w14:paraId="3A818724" w14:textId="77777777" w:rsidR="00F319BC" w:rsidRPr="00F319BC" w:rsidRDefault="00F319BC" w:rsidP="00F319BC">
            <w:pPr>
              <w:jc w:val="center"/>
            </w:pPr>
            <w:r w:rsidRPr="00F319BC">
              <w:t>Oppose</w:t>
            </w:r>
          </w:p>
        </w:tc>
        <w:tc>
          <w:tcPr>
            <w:tcW w:w="1419" w:type="dxa"/>
            <w:vAlign w:val="center"/>
          </w:tcPr>
          <w:p w14:paraId="162A535C" w14:textId="77777777" w:rsidR="00F319BC" w:rsidRPr="00F319BC" w:rsidRDefault="00F319BC" w:rsidP="00F319BC">
            <w:pPr>
              <w:jc w:val="center"/>
            </w:pPr>
            <w:r w:rsidRPr="00F319BC">
              <w:t>Neutral</w:t>
            </w:r>
          </w:p>
        </w:tc>
        <w:tc>
          <w:tcPr>
            <w:tcW w:w="1419" w:type="dxa"/>
            <w:vAlign w:val="center"/>
          </w:tcPr>
          <w:p w14:paraId="70CCBDBF" w14:textId="77777777" w:rsidR="00F319BC" w:rsidRPr="00F319BC" w:rsidRDefault="00F319BC" w:rsidP="00F319BC">
            <w:pPr>
              <w:jc w:val="center"/>
            </w:pPr>
            <w:r w:rsidRPr="00F319BC">
              <w:t>Support</w:t>
            </w:r>
          </w:p>
        </w:tc>
        <w:tc>
          <w:tcPr>
            <w:tcW w:w="2027" w:type="dxa"/>
            <w:vAlign w:val="center"/>
          </w:tcPr>
          <w:p w14:paraId="7998339B" w14:textId="77777777" w:rsidR="00F319BC" w:rsidRPr="00F319BC" w:rsidRDefault="00F319BC" w:rsidP="00F319BC">
            <w:pPr>
              <w:jc w:val="center"/>
            </w:pPr>
            <w:r w:rsidRPr="00F319BC">
              <w:t>Strongly support</w:t>
            </w:r>
          </w:p>
        </w:tc>
      </w:tr>
      <w:tr w:rsidR="00F319BC" w14:paraId="0A17E914" w14:textId="77777777" w:rsidTr="00F319BC">
        <w:tc>
          <w:tcPr>
            <w:tcW w:w="1188" w:type="dxa"/>
          </w:tcPr>
          <w:p w14:paraId="3AA514FE" w14:textId="77777777" w:rsidR="00F319BC" w:rsidRPr="00F319BC" w:rsidRDefault="00F319BC" w:rsidP="00F319BC">
            <w:pPr>
              <w:jc w:val="center"/>
              <w:rPr>
                <w:b/>
              </w:rPr>
            </w:pPr>
            <w:r w:rsidRPr="00F319BC">
              <w:rPr>
                <w:b/>
              </w:rPr>
              <w:t>Rating</w:t>
            </w:r>
          </w:p>
        </w:tc>
        <w:tc>
          <w:tcPr>
            <w:tcW w:w="1773" w:type="dxa"/>
            <w:vAlign w:val="center"/>
          </w:tcPr>
          <w:p w14:paraId="6A232F89" w14:textId="77777777" w:rsidR="00F319BC" w:rsidRDefault="00F319BC" w:rsidP="00F319BC">
            <w:pPr>
              <w:jc w:val="center"/>
            </w:pPr>
            <w:r>
              <w:t>-2</w:t>
            </w:r>
          </w:p>
        </w:tc>
        <w:tc>
          <w:tcPr>
            <w:tcW w:w="1419" w:type="dxa"/>
            <w:vAlign w:val="center"/>
          </w:tcPr>
          <w:p w14:paraId="62E37DBF" w14:textId="77777777" w:rsidR="00F319BC" w:rsidRDefault="00F319BC" w:rsidP="00F319BC">
            <w:pPr>
              <w:jc w:val="center"/>
            </w:pPr>
            <w:r>
              <w:t>-1</w:t>
            </w:r>
          </w:p>
        </w:tc>
        <w:tc>
          <w:tcPr>
            <w:tcW w:w="1419" w:type="dxa"/>
            <w:vAlign w:val="center"/>
          </w:tcPr>
          <w:p w14:paraId="4C5C0691" w14:textId="77777777" w:rsidR="00F319BC" w:rsidRDefault="00F319BC" w:rsidP="00F319BC">
            <w:pPr>
              <w:jc w:val="center"/>
            </w:pPr>
            <w:r>
              <w:t>0</w:t>
            </w:r>
          </w:p>
        </w:tc>
        <w:tc>
          <w:tcPr>
            <w:tcW w:w="1419" w:type="dxa"/>
            <w:vAlign w:val="center"/>
          </w:tcPr>
          <w:p w14:paraId="0174BE06" w14:textId="77777777" w:rsidR="00F319BC" w:rsidRDefault="00F319BC" w:rsidP="00F319BC">
            <w:pPr>
              <w:jc w:val="center"/>
            </w:pPr>
            <w:r>
              <w:t>1</w:t>
            </w:r>
          </w:p>
        </w:tc>
        <w:tc>
          <w:tcPr>
            <w:tcW w:w="2027" w:type="dxa"/>
            <w:vAlign w:val="center"/>
          </w:tcPr>
          <w:p w14:paraId="76AA9B62" w14:textId="77777777" w:rsidR="00F319BC" w:rsidRDefault="00F319BC" w:rsidP="00F319BC">
            <w:pPr>
              <w:jc w:val="center"/>
            </w:pPr>
            <w:r>
              <w:t>2</w:t>
            </w:r>
          </w:p>
        </w:tc>
      </w:tr>
    </w:tbl>
    <w:p w14:paraId="525567A0" w14:textId="607AD8DB" w:rsidR="00805A67" w:rsidRDefault="00805A67" w:rsidP="00805A67">
      <w:pPr>
        <w:spacing w:after="240"/>
        <w:rPr>
          <w:b/>
        </w:rPr>
      </w:pPr>
      <w:r>
        <w:rPr>
          <w:b/>
        </w:rPr>
        <w:t>Table</w:t>
      </w:r>
      <w:r w:rsidR="00484F76">
        <w:rPr>
          <w:b/>
        </w:rPr>
        <w:t>1</w:t>
      </w:r>
      <w:r>
        <w:rPr>
          <w:b/>
        </w:rPr>
        <w:t xml:space="preserve">: </w:t>
      </w:r>
      <w:r w:rsidR="00484F76">
        <w:rPr>
          <w:b/>
        </w:rPr>
        <w:t xml:space="preserve"> </w:t>
      </w:r>
    </w:p>
    <w:tbl>
      <w:tblPr>
        <w:tblStyle w:val="TableGrid"/>
        <w:tblW w:w="900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290"/>
        <w:gridCol w:w="1710"/>
      </w:tblGrid>
      <w:tr w:rsidR="00484F76" w:rsidRPr="00BC5AB7" w14:paraId="1330CD4D" w14:textId="77777777" w:rsidTr="00EA639E">
        <w:trPr>
          <w:trHeight w:val="609"/>
        </w:trPr>
        <w:tc>
          <w:tcPr>
            <w:tcW w:w="7290" w:type="dxa"/>
            <w:vAlign w:val="center"/>
          </w:tcPr>
          <w:p w14:paraId="31754A48" w14:textId="77777777" w:rsidR="00484F76" w:rsidRPr="00BC5AB7" w:rsidRDefault="00484F76" w:rsidP="00124FBD">
            <w:pPr>
              <w:jc w:val="center"/>
              <w:rPr>
                <w:b/>
              </w:rPr>
            </w:pPr>
            <w:r>
              <w:rPr>
                <w:b/>
              </w:rPr>
              <w:t xml:space="preserve">Option </w:t>
            </w:r>
            <w:r w:rsidRPr="00BC5AB7">
              <w:rPr>
                <w:b/>
              </w:rPr>
              <w:t>Description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AF67DF" w14:textId="77777777" w:rsidR="00484F76" w:rsidRPr="008678BE" w:rsidRDefault="00484F76" w:rsidP="00484F76">
            <w:pPr>
              <w:jc w:val="center"/>
              <w:rPr>
                <w:b/>
              </w:rPr>
            </w:pPr>
            <w:r w:rsidRPr="008678BE">
              <w:rPr>
                <w:b/>
              </w:rPr>
              <w:t xml:space="preserve">Your </w:t>
            </w:r>
            <w:r>
              <w:rPr>
                <w:b/>
              </w:rPr>
              <w:t>rating</w:t>
            </w:r>
          </w:p>
        </w:tc>
      </w:tr>
      <w:tr w:rsidR="00484F76" w:rsidRPr="00BC5AB7" w14:paraId="78581A8B" w14:textId="77777777" w:rsidTr="00EA639E">
        <w:trPr>
          <w:trHeight w:val="576"/>
        </w:trPr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14:paraId="5240BD0B" w14:textId="57FECE2A" w:rsidR="00484F76" w:rsidRDefault="00484F76" w:rsidP="008678BE"/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8A12012" w14:textId="77777777" w:rsidR="00484F76" w:rsidRDefault="00484F76" w:rsidP="00F73D62">
            <w:pPr>
              <w:jc w:val="center"/>
              <w:rPr>
                <w:b/>
              </w:rPr>
            </w:pPr>
          </w:p>
        </w:tc>
      </w:tr>
      <w:tr w:rsidR="00EA639E" w:rsidRPr="00BC5AB7" w14:paraId="2192513D" w14:textId="77777777" w:rsidTr="00EA639E">
        <w:trPr>
          <w:trHeight w:val="576"/>
        </w:trPr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14:paraId="66FF35B0" w14:textId="6538056F" w:rsidR="00EA639E" w:rsidRDefault="00EA639E" w:rsidP="00EA639E"/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7BB900E" w14:textId="77777777" w:rsidR="00EA639E" w:rsidRDefault="00EA639E" w:rsidP="00F73D62">
            <w:pPr>
              <w:jc w:val="center"/>
              <w:rPr>
                <w:b/>
              </w:rPr>
            </w:pPr>
          </w:p>
        </w:tc>
      </w:tr>
      <w:tr w:rsidR="00EA639E" w:rsidRPr="00BC5AB7" w14:paraId="7D9888F4" w14:textId="77777777" w:rsidTr="00EA639E">
        <w:trPr>
          <w:trHeight w:val="576"/>
        </w:trPr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14:paraId="05435712" w14:textId="31356DE8" w:rsidR="00EA639E" w:rsidRDefault="00EA639E" w:rsidP="00EA639E"/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3701314" w14:textId="77777777" w:rsidR="00EA639E" w:rsidRPr="00BC5AB7" w:rsidRDefault="00EA639E" w:rsidP="003876E5">
            <w:pPr>
              <w:jc w:val="center"/>
            </w:pPr>
          </w:p>
        </w:tc>
      </w:tr>
      <w:tr w:rsidR="00EA639E" w:rsidRPr="00BC5AB7" w14:paraId="3F1E3EA2" w14:textId="77777777" w:rsidTr="00EA639E">
        <w:trPr>
          <w:trHeight w:val="576"/>
        </w:trPr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14:paraId="5FCAFCAA" w14:textId="69C63D69" w:rsidR="00EA639E" w:rsidRDefault="00EA639E" w:rsidP="00EA639E"/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94BE1B3" w14:textId="77777777" w:rsidR="00EA639E" w:rsidRPr="00BC5AB7" w:rsidRDefault="00EA639E" w:rsidP="003876E5">
            <w:pPr>
              <w:jc w:val="center"/>
            </w:pPr>
          </w:p>
        </w:tc>
      </w:tr>
      <w:tr w:rsidR="00EA639E" w:rsidRPr="00BC5AB7" w14:paraId="0F73F7F1" w14:textId="77777777" w:rsidTr="00EA639E">
        <w:trPr>
          <w:trHeight w:val="576"/>
        </w:trPr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14:paraId="0655A5F2" w14:textId="752EE711" w:rsidR="00EA639E" w:rsidRDefault="00EA639E" w:rsidP="00EA639E"/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ECBE745" w14:textId="77777777" w:rsidR="00EA639E" w:rsidRPr="00BC5AB7" w:rsidRDefault="00EA639E" w:rsidP="003876E5">
            <w:pPr>
              <w:jc w:val="center"/>
            </w:pPr>
          </w:p>
        </w:tc>
      </w:tr>
      <w:tr w:rsidR="00EA639E" w:rsidRPr="00BC5AB7" w14:paraId="0A60A5E2" w14:textId="77777777" w:rsidTr="00EA639E">
        <w:trPr>
          <w:trHeight w:val="576"/>
        </w:trPr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14:paraId="6EFBA307" w14:textId="23637608" w:rsidR="00EA639E" w:rsidRDefault="00EA639E" w:rsidP="00BA6167"/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6AA3283" w14:textId="77777777" w:rsidR="00EA639E" w:rsidRDefault="00EA639E" w:rsidP="00F73D62">
            <w:pPr>
              <w:jc w:val="center"/>
              <w:rPr>
                <w:b/>
              </w:rPr>
            </w:pPr>
          </w:p>
        </w:tc>
      </w:tr>
      <w:tr w:rsidR="00EA639E" w:rsidRPr="00BC5AB7" w14:paraId="20C247F8" w14:textId="77777777" w:rsidTr="00EA639E">
        <w:trPr>
          <w:trHeight w:val="576"/>
        </w:trPr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87DDC" w14:textId="39B3D850" w:rsidR="00EA639E" w:rsidRDefault="00EA639E" w:rsidP="00BA6167"/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12195" w14:textId="77777777" w:rsidR="00EA639E" w:rsidRPr="00BC5AB7" w:rsidRDefault="00EA639E" w:rsidP="00F73D62">
            <w:pPr>
              <w:jc w:val="center"/>
            </w:pPr>
          </w:p>
        </w:tc>
      </w:tr>
      <w:tr w:rsidR="00EA639E" w:rsidRPr="00BC5AB7" w14:paraId="0EDBE4B3" w14:textId="77777777" w:rsidTr="00EA639E">
        <w:trPr>
          <w:trHeight w:val="576"/>
        </w:trPr>
        <w:tc>
          <w:tcPr>
            <w:tcW w:w="7290" w:type="dxa"/>
            <w:tcBorders>
              <w:top w:val="single" w:sz="4" w:space="0" w:color="auto"/>
            </w:tcBorders>
            <w:vAlign w:val="center"/>
          </w:tcPr>
          <w:p w14:paraId="584FABDD" w14:textId="437E52DF" w:rsidR="00EA639E" w:rsidRDefault="00EA639E" w:rsidP="00757EE8"/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03813506" w14:textId="77777777" w:rsidR="00EA639E" w:rsidRDefault="00EA639E" w:rsidP="00F73D62">
            <w:pPr>
              <w:jc w:val="center"/>
            </w:pPr>
          </w:p>
        </w:tc>
      </w:tr>
      <w:tr w:rsidR="00EA639E" w:rsidRPr="00BC5AB7" w14:paraId="35B5BC0E" w14:textId="77777777" w:rsidTr="00EA639E">
        <w:trPr>
          <w:trHeight w:val="576"/>
        </w:trPr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15F60" w14:textId="603E1EBC" w:rsidR="00EA639E" w:rsidRDefault="00EA639E" w:rsidP="00757EE8"/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4B020" w14:textId="77777777" w:rsidR="00EA639E" w:rsidRDefault="00EA639E" w:rsidP="00F73D62">
            <w:pPr>
              <w:jc w:val="center"/>
            </w:pPr>
          </w:p>
        </w:tc>
      </w:tr>
      <w:tr w:rsidR="00EA639E" w:rsidRPr="00BC5AB7" w14:paraId="03A54B22" w14:textId="77777777" w:rsidTr="00EA639E">
        <w:trPr>
          <w:trHeight w:val="576"/>
        </w:trPr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C2574" w14:textId="4A2DF773" w:rsidR="00EA639E" w:rsidRDefault="00EA639E" w:rsidP="00757EE8"/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587BE" w14:textId="77777777" w:rsidR="00EA639E" w:rsidRDefault="00EA639E" w:rsidP="00F73D62">
            <w:pPr>
              <w:jc w:val="center"/>
            </w:pPr>
          </w:p>
        </w:tc>
      </w:tr>
      <w:tr w:rsidR="00EA639E" w:rsidRPr="00BC5AB7" w14:paraId="1A5D664D" w14:textId="77777777" w:rsidTr="00EA639E">
        <w:trPr>
          <w:trHeight w:val="576"/>
        </w:trPr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01949" w14:textId="77777777" w:rsidR="00EA639E" w:rsidRDefault="00EA639E" w:rsidP="00757EE8"/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6FFBA" w14:textId="77777777" w:rsidR="00EA639E" w:rsidRDefault="00EA639E" w:rsidP="00F73D62">
            <w:pPr>
              <w:jc w:val="center"/>
            </w:pPr>
          </w:p>
        </w:tc>
      </w:tr>
    </w:tbl>
    <w:p w14:paraId="0C2A68D3" w14:textId="6597DF0F" w:rsidR="00EA639E" w:rsidRDefault="009C33E3" w:rsidP="00EA639E">
      <w:r>
        <w:t>S</w:t>
      </w:r>
      <w:r w:rsidR="00EA639E">
        <w:t xml:space="preserve">elect </w:t>
      </w:r>
      <w:r w:rsidR="006E21B7">
        <w:t>the</w:t>
      </w:r>
      <w:r w:rsidR="00EA639E">
        <w:t xml:space="preserve"> </w:t>
      </w:r>
      <w:r w:rsidR="0059687C" w:rsidRPr="0059687C">
        <w:rPr>
          <w:b/>
          <w:u w:val="single"/>
        </w:rPr>
        <w:t xml:space="preserve">2 </w:t>
      </w:r>
      <w:r w:rsidR="00EA639E" w:rsidRPr="0059687C">
        <w:rPr>
          <w:b/>
          <w:u w:val="single"/>
        </w:rPr>
        <w:t>most favored option</w:t>
      </w:r>
      <w:r w:rsidR="0059687C" w:rsidRPr="0059687C">
        <w:rPr>
          <w:b/>
          <w:u w:val="single"/>
        </w:rPr>
        <w:t>s</w:t>
      </w:r>
      <w:r w:rsidR="00EA639E">
        <w:t xml:space="preserve"> from </w:t>
      </w:r>
      <w:proofErr w:type="gramStart"/>
      <w:r w:rsidR="00EA639E">
        <w:t>the table</w:t>
      </w:r>
      <w:proofErr w:type="gramEnd"/>
      <w:r w:rsidR="00EA639E">
        <w:t xml:space="preserve"> 1 and </w:t>
      </w:r>
      <w:proofErr w:type="gramStart"/>
      <w:r w:rsidR="00EA639E">
        <w:t>continue</w:t>
      </w:r>
      <w:r w:rsidR="0059687C">
        <w:t>s</w:t>
      </w:r>
      <w:proofErr w:type="gramEnd"/>
      <w:r w:rsidR="00EA639E">
        <w:t xml:space="preserve"> with table 2</w:t>
      </w:r>
      <w:r w:rsidR="00F319BC">
        <w:t xml:space="preserve"> below.</w:t>
      </w:r>
      <w:r w:rsidR="00EA639E">
        <w:t xml:space="preserve"> </w:t>
      </w:r>
    </w:p>
    <w:p w14:paraId="5A64BC47" w14:textId="77777777" w:rsidR="009C33E3" w:rsidRDefault="009C33E3" w:rsidP="00EA639E"/>
    <w:p w14:paraId="520419C1" w14:textId="77777777" w:rsidR="00EA639E" w:rsidRDefault="00EA639E" w:rsidP="00EA639E">
      <w:pPr>
        <w:pStyle w:val="Heading2"/>
      </w:pPr>
      <w:r>
        <w:lastRenderedPageBreak/>
        <w:t>Step 2: Ability index</w:t>
      </w:r>
    </w:p>
    <w:p w14:paraId="025CD650" w14:textId="225ED906" w:rsidR="000C2B82" w:rsidRDefault="000C2B82" w:rsidP="000C2B82">
      <w:r>
        <w:t xml:space="preserve">The Ability index is established to evaluate relevant capacities of </w:t>
      </w:r>
      <w:r w:rsidR="009C33E3">
        <w:t>the s</w:t>
      </w:r>
      <w:r>
        <w:t>takeholder</w:t>
      </w:r>
      <w:r w:rsidR="00EE4010">
        <w:t xml:space="preserve"> with respect to the </w:t>
      </w:r>
      <w:r w:rsidR="0059687C">
        <w:t>2</w:t>
      </w:r>
      <w:r w:rsidR="00EE4010">
        <w:t xml:space="preserve"> options selected at </w:t>
      </w:r>
      <w:proofErr w:type="gramStart"/>
      <w:r w:rsidR="00EE4010">
        <w:t>the step</w:t>
      </w:r>
      <w:proofErr w:type="gramEnd"/>
      <w:r w:rsidR="00EE4010">
        <w:t xml:space="preserve"> 1</w:t>
      </w:r>
      <w:r>
        <w:t xml:space="preserve">.  </w:t>
      </w:r>
    </w:p>
    <w:p w14:paraId="3E965C55" w14:textId="77777777" w:rsidR="00F319BC" w:rsidRDefault="00F319BC" w:rsidP="000C2B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4"/>
        <w:gridCol w:w="1803"/>
      </w:tblGrid>
      <w:tr w:rsidR="00AA6189" w14:paraId="2F0C4EBF" w14:textId="77777777" w:rsidTr="00F319BC">
        <w:tc>
          <w:tcPr>
            <w:tcW w:w="1803" w:type="dxa"/>
            <w:shd w:val="clear" w:color="auto" w:fill="B6DDE8" w:themeFill="accent5" w:themeFillTint="66"/>
          </w:tcPr>
          <w:p w14:paraId="2960F53C" w14:textId="77777777" w:rsidR="00AA6189" w:rsidRDefault="00AA6189" w:rsidP="00F319BC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803" w:type="dxa"/>
            <w:vAlign w:val="bottom"/>
          </w:tcPr>
          <w:p w14:paraId="07ACCCCD" w14:textId="77777777" w:rsidR="00AA6189" w:rsidRPr="00F319BC" w:rsidRDefault="00AA6189" w:rsidP="00F319BC">
            <w:pPr>
              <w:jc w:val="center"/>
            </w:pPr>
            <w:r w:rsidRPr="00F319BC">
              <w:t>Poor</w:t>
            </w:r>
          </w:p>
        </w:tc>
        <w:tc>
          <w:tcPr>
            <w:tcW w:w="1804" w:type="dxa"/>
            <w:vAlign w:val="bottom"/>
          </w:tcPr>
          <w:p w14:paraId="0B398B53" w14:textId="77777777" w:rsidR="00AA6189" w:rsidRPr="00F319BC" w:rsidRDefault="00AA6189" w:rsidP="00F319BC">
            <w:pPr>
              <w:jc w:val="center"/>
            </w:pPr>
            <w:r w:rsidRPr="00F319BC">
              <w:t>Moderate</w:t>
            </w:r>
          </w:p>
        </w:tc>
        <w:tc>
          <w:tcPr>
            <w:tcW w:w="1803" w:type="dxa"/>
            <w:vAlign w:val="bottom"/>
          </w:tcPr>
          <w:p w14:paraId="39A2A121" w14:textId="77777777" w:rsidR="00AA6189" w:rsidRPr="00F319BC" w:rsidRDefault="00AA6189" w:rsidP="00F319BC">
            <w:pPr>
              <w:jc w:val="center"/>
            </w:pPr>
            <w:r w:rsidRPr="00F319BC">
              <w:t>Good</w:t>
            </w:r>
          </w:p>
        </w:tc>
      </w:tr>
      <w:tr w:rsidR="00AA6189" w14:paraId="1CDDB6E2" w14:textId="77777777" w:rsidTr="00F319BC">
        <w:tc>
          <w:tcPr>
            <w:tcW w:w="1803" w:type="dxa"/>
            <w:shd w:val="clear" w:color="auto" w:fill="B6DDE8" w:themeFill="accent5" w:themeFillTint="66"/>
          </w:tcPr>
          <w:p w14:paraId="0635D479" w14:textId="77777777" w:rsidR="00AA6189" w:rsidRPr="00F319BC" w:rsidRDefault="00AA6189" w:rsidP="00F319BC">
            <w:pPr>
              <w:jc w:val="center"/>
              <w:rPr>
                <w:b/>
              </w:rPr>
            </w:pPr>
            <w:r w:rsidRPr="00F319BC">
              <w:rPr>
                <w:b/>
              </w:rPr>
              <w:t>Rating</w:t>
            </w:r>
          </w:p>
        </w:tc>
        <w:tc>
          <w:tcPr>
            <w:tcW w:w="1803" w:type="dxa"/>
            <w:vAlign w:val="bottom"/>
          </w:tcPr>
          <w:p w14:paraId="5A24ECB0" w14:textId="77777777" w:rsidR="00AA6189" w:rsidRDefault="00AA6189" w:rsidP="00F319BC">
            <w:pPr>
              <w:jc w:val="center"/>
            </w:pPr>
            <w:r>
              <w:t>1</w:t>
            </w:r>
          </w:p>
        </w:tc>
        <w:tc>
          <w:tcPr>
            <w:tcW w:w="1804" w:type="dxa"/>
            <w:vAlign w:val="bottom"/>
          </w:tcPr>
          <w:p w14:paraId="559907C2" w14:textId="77777777" w:rsidR="00AA6189" w:rsidRDefault="00AA6189" w:rsidP="00F319BC">
            <w:pPr>
              <w:jc w:val="center"/>
            </w:pPr>
            <w:r>
              <w:t>2</w:t>
            </w:r>
          </w:p>
        </w:tc>
        <w:tc>
          <w:tcPr>
            <w:tcW w:w="1803" w:type="dxa"/>
            <w:vAlign w:val="bottom"/>
          </w:tcPr>
          <w:p w14:paraId="6ACB85ED" w14:textId="77777777" w:rsidR="00AA6189" w:rsidRDefault="00AA6189" w:rsidP="00F319BC">
            <w:pPr>
              <w:jc w:val="center"/>
            </w:pPr>
            <w:r>
              <w:t>3</w:t>
            </w:r>
          </w:p>
        </w:tc>
      </w:tr>
    </w:tbl>
    <w:p w14:paraId="00BDB13B" w14:textId="77777777" w:rsidR="000C2B82" w:rsidRDefault="00805A67" w:rsidP="00805A67">
      <w:pPr>
        <w:spacing w:after="240"/>
        <w:rPr>
          <w:b/>
        </w:rPr>
      </w:pPr>
      <w:r w:rsidRPr="00805A67">
        <w:rPr>
          <w:b/>
        </w:rPr>
        <w:t xml:space="preserve">Table </w:t>
      </w:r>
      <w:r w:rsidR="00F319BC">
        <w:rPr>
          <w:b/>
        </w:rPr>
        <w:t>2</w:t>
      </w:r>
      <w:r w:rsidRPr="00805A67">
        <w:rPr>
          <w:b/>
        </w:rPr>
        <w:t xml:space="preserve">: </w:t>
      </w:r>
      <w:r w:rsidR="000C2B82" w:rsidRPr="00805A67">
        <w:rPr>
          <w:b/>
        </w:rPr>
        <w:t>Think of your</w:t>
      </w:r>
      <w:r w:rsidRPr="00805A67">
        <w:rPr>
          <w:b/>
        </w:rPr>
        <w:t xml:space="preserve"> own role</w:t>
      </w:r>
      <w:r w:rsidR="000C2B82" w:rsidRPr="00805A67">
        <w:rPr>
          <w:b/>
        </w:rPr>
        <w:t xml:space="preserve"> and give scores in the last column</w:t>
      </w:r>
      <w:r w:rsidR="00AA6189">
        <w:rPr>
          <w:b/>
        </w:rPr>
        <w:t xml:space="preserve"> as guided in the table above</w:t>
      </w:r>
      <w:r w:rsidR="00CB417E">
        <w:rPr>
          <w:b/>
        </w:rPr>
        <w:t xml:space="preserve">. </w:t>
      </w:r>
    </w:p>
    <w:tbl>
      <w:tblPr>
        <w:tblStyle w:val="TableGrid"/>
        <w:tblW w:w="927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080"/>
        <w:gridCol w:w="1170"/>
        <w:gridCol w:w="6210"/>
        <w:gridCol w:w="810"/>
      </w:tblGrid>
      <w:tr w:rsidR="00EA639E" w14:paraId="1C80FF3F" w14:textId="77777777" w:rsidTr="001B6DE8">
        <w:tc>
          <w:tcPr>
            <w:tcW w:w="1080" w:type="dxa"/>
            <w:vAlign w:val="center"/>
          </w:tcPr>
          <w:p w14:paraId="0844CF99" w14:textId="77777777" w:rsidR="00EA639E" w:rsidRPr="00BB6C4A" w:rsidRDefault="00EA639E" w:rsidP="000C78DF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 w:rsidRPr="00BB6C4A">
              <w:rPr>
                <w:b/>
              </w:rPr>
              <w:t>Ability</w:t>
            </w:r>
          </w:p>
        </w:tc>
        <w:tc>
          <w:tcPr>
            <w:tcW w:w="1170" w:type="dxa"/>
            <w:vAlign w:val="center"/>
          </w:tcPr>
          <w:p w14:paraId="52DCC5AC" w14:textId="77777777" w:rsidR="00EA639E" w:rsidRPr="00BB6C4A" w:rsidRDefault="00EE4010" w:rsidP="000C78DF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Quality</w:t>
            </w:r>
          </w:p>
        </w:tc>
        <w:tc>
          <w:tcPr>
            <w:tcW w:w="6210" w:type="dxa"/>
            <w:tcBorders>
              <w:right w:val="single" w:sz="4" w:space="0" w:color="auto"/>
            </w:tcBorders>
            <w:vAlign w:val="center"/>
          </w:tcPr>
          <w:p w14:paraId="7A983973" w14:textId="77777777" w:rsidR="00EA639E" w:rsidRPr="00BB6C4A" w:rsidRDefault="00EA639E" w:rsidP="000C78DF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 w:rsidRPr="00BB6C4A">
              <w:rPr>
                <w:b/>
              </w:rPr>
              <w:t>Description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CE0F0C1" w14:textId="77777777" w:rsidR="00EA639E" w:rsidRPr="00BB6C4A" w:rsidRDefault="00F319BC" w:rsidP="000C78DF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Rating</w:t>
            </w:r>
          </w:p>
        </w:tc>
      </w:tr>
      <w:tr w:rsidR="0059687C" w14:paraId="661257C4" w14:textId="77777777" w:rsidTr="0059687C">
        <w:trPr>
          <w:trHeight w:val="486"/>
        </w:trPr>
        <w:tc>
          <w:tcPr>
            <w:tcW w:w="1080" w:type="dxa"/>
            <w:vMerge w:val="restart"/>
            <w:vAlign w:val="center"/>
          </w:tcPr>
          <w:p w14:paraId="1BCCD347" w14:textId="77777777" w:rsidR="0059687C" w:rsidRPr="00BB6C4A" w:rsidRDefault="0059687C" w:rsidP="000C78DF">
            <w:pPr>
              <w:pStyle w:val="ListParagraph"/>
              <w:spacing w:line="276" w:lineRule="auto"/>
              <w:ind w:left="0"/>
              <w:rPr>
                <w:b/>
              </w:rPr>
            </w:pPr>
            <w:r w:rsidRPr="00BB6C4A">
              <w:rPr>
                <w:b/>
              </w:rPr>
              <w:t>Financial</w:t>
            </w:r>
          </w:p>
        </w:tc>
        <w:tc>
          <w:tcPr>
            <w:tcW w:w="1170" w:type="dxa"/>
            <w:vMerge w:val="restart"/>
            <w:vAlign w:val="center"/>
          </w:tcPr>
          <w:p w14:paraId="1BD217E6" w14:textId="77777777" w:rsidR="0059687C" w:rsidRDefault="0059687C" w:rsidP="00CE47A5">
            <w:pPr>
              <w:pStyle w:val="ListParagraph"/>
              <w:spacing w:line="276" w:lineRule="auto"/>
              <w:ind w:left="0"/>
              <w:jc w:val="center"/>
            </w:pPr>
            <w:r>
              <w:t>Poor</w:t>
            </w:r>
          </w:p>
          <w:p w14:paraId="65EB8282" w14:textId="77777777" w:rsidR="0059687C" w:rsidRDefault="0059687C" w:rsidP="00CE47A5">
            <w:pPr>
              <w:pStyle w:val="ListParagraph"/>
              <w:spacing w:line="276" w:lineRule="auto"/>
              <w:ind w:left="0"/>
              <w:jc w:val="center"/>
            </w:pPr>
            <w:r>
              <w:t>Moderate</w:t>
            </w:r>
          </w:p>
          <w:p w14:paraId="16FA98A9" w14:textId="77777777" w:rsidR="0059687C" w:rsidRDefault="0059687C" w:rsidP="001B6DE8">
            <w:pPr>
              <w:pStyle w:val="ListParagraph"/>
              <w:spacing w:line="276" w:lineRule="auto"/>
              <w:ind w:left="0"/>
              <w:jc w:val="center"/>
            </w:pPr>
            <w:r>
              <w:t>Good</w:t>
            </w:r>
          </w:p>
        </w:tc>
        <w:tc>
          <w:tcPr>
            <w:tcW w:w="6210" w:type="dxa"/>
            <w:vMerge w:val="restart"/>
            <w:tcBorders>
              <w:right w:val="single" w:sz="4" w:space="0" w:color="auto"/>
            </w:tcBorders>
            <w:vAlign w:val="center"/>
          </w:tcPr>
          <w:p w14:paraId="26BF404C" w14:textId="77777777" w:rsidR="0059687C" w:rsidRDefault="0059687C" w:rsidP="00F319BC">
            <w:pPr>
              <w:pStyle w:val="ListParagraph"/>
              <w:spacing w:line="276" w:lineRule="auto"/>
              <w:ind w:left="0"/>
            </w:pPr>
            <w:r>
              <w:t xml:space="preserve">Less than 50% financially capable </w:t>
            </w:r>
            <w:proofErr w:type="gramStart"/>
            <w:r>
              <w:t>to implement</w:t>
            </w:r>
            <w:proofErr w:type="gramEnd"/>
            <w:r>
              <w:t xml:space="preserve"> the option</w:t>
            </w:r>
          </w:p>
          <w:p w14:paraId="1212603B" w14:textId="77777777" w:rsidR="0059687C" w:rsidRDefault="0059687C" w:rsidP="00F319BC">
            <w:pPr>
              <w:pStyle w:val="ListParagraph"/>
              <w:spacing w:line="276" w:lineRule="auto"/>
              <w:ind w:left="0"/>
            </w:pPr>
            <w:r>
              <w:t xml:space="preserve">50% to 80% financially capable </w:t>
            </w:r>
            <w:proofErr w:type="gramStart"/>
            <w:r>
              <w:t>to implement</w:t>
            </w:r>
            <w:proofErr w:type="gramEnd"/>
            <w:r>
              <w:t xml:space="preserve"> the option</w:t>
            </w:r>
          </w:p>
          <w:p w14:paraId="660268E2" w14:textId="77777777" w:rsidR="0059687C" w:rsidRDefault="0059687C" w:rsidP="00F319BC">
            <w:pPr>
              <w:pStyle w:val="ListParagraph"/>
              <w:spacing w:line="276" w:lineRule="auto"/>
              <w:ind w:left="0"/>
            </w:pPr>
            <w:r>
              <w:t xml:space="preserve">80% to 100% financially capable </w:t>
            </w:r>
            <w:proofErr w:type="gramStart"/>
            <w:r>
              <w:t>to implement</w:t>
            </w:r>
            <w:proofErr w:type="gramEnd"/>
            <w:r>
              <w:t xml:space="preserve"> the option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057EA1D0" w14:textId="77777777" w:rsidR="0059687C" w:rsidRDefault="0059687C" w:rsidP="00EE4010">
            <w:pPr>
              <w:pStyle w:val="ListParagraph"/>
              <w:ind w:left="0"/>
            </w:pPr>
            <w:proofErr w:type="gramStart"/>
            <w:r>
              <w:t>1:…</w:t>
            </w:r>
            <w:proofErr w:type="gramEnd"/>
            <w:r>
              <w:t>….</w:t>
            </w:r>
          </w:p>
        </w:tc>
      </w:tr>
      <w:tr w:rsidR="0059687C" w14:paraId="51F99C98" w14:textId="77777777" w:rsidTr="0059687C">
        <w:trPr>
          <w:trHeight w:val="486"/>
        </w:trPr>
        <w:tc>
          <w:tcPr>
            <w:tcW w:w="1080" w:type="dxa"/>
            <w:vMerge/>
            <w:vAlign w:val="center"/>
          </w:tcPr>
          <w:p w14:paraId="68BDE4AD" w14:textId="77777777" w:rsidR="0059687C" w:rsidRPr="00BB6C4A" w:rsidRDefault="0059687C" w:rsidP="000C78DF">
            <w:pPr>
              <w:pStyle w:val="ListParagraph"/>
              <w:spacing w:line="276" w:lineRule="auto"/>
              <w:ind w:left="0"/>
              <w:rPr>
                <w:b/>
              </w:rPr>
            </w:pPr>
          </w:p>
        </w:tc>
        <w:tc>
          <w:tcPr>
            <w:tcW w:w="1170" w:type="dxa"/>
            <w:vMerge/>
            <w:vAlign w:val="center"/>
          </w:tcPr>
          <w:p w14:paraId="57FA9EF5" w14:textId="77777777" w:rsidR="0059687C" w:rsidRDefault="0059687C" w:rsidP="00CE47A5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6210" w:type="dxa"/>
            <w:vMerge/>
            <w:tcBorders>
              <w:right w:val="single" w:sz="4" w:space="0" w:color="auto"/>
            </w:tcBorders>
            <w:vAlign w:val="center"/>
          </w:tcPr>
          <w:p w14:paraId="44B0FC3D" w14:textId="77777777" w:rsidR="0059687C" w:rsidRDefault="0059687C" w:rsidP="00F319BC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54C984D4" w14:textId="77777777" w:rsidR="0059687C" w:rsidRDefault="0059687C" w:rsidP="00EE4010">
            <w:pPr>
              <w:pStyle w:val="ListParagraph"/>
              <w:ind w:left="0"/>
            </w:pPr>
            <w:proofErr w:type="gramStart"/>
            <w:r>
              <w:t>2:…</w:t>
            </w:r>
            <w:proofErr w:type="gramEnd"/>
            <w:r>
              <w:t>….</w:t>
            </w:r>
          </w:p>
        </w:tc>
      </w:tr>
      <w:tr w:rsidR="0059687C" w14:paraId="4B88A791" w14:textId="77777777" w:rsidTr="0059687C">
        <w:trPr>
          <w:trHeight w:val="486"/>
        </w:trPr>
        <w:tc>
          <w:tcPr>
            <w:tcW w:w="1080" w:type="dxa"/>
            <w:vMerge w:val="restart"/>
            <w:vAlign w:val="center"/>
          </w:tcPr>
          <w:p w14:paraId="6FF95C6A" w14:textId="77777777" w:rsidR="0059687C" w:rsidRPr="00BB6C4A" w:rsidRDefault="0059687C" w:rsidP="000C78DF">
            <w:pPr>
              <w:pStyle w:val="ListParagraph"/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Technical</w:t>
            </w:r>
          </w:p>
        </w:tc>
        <w:tc>
          <w:tcPr>
            <w:tcW w:w="1170" w:type="dxa"/>
            <w:vMerge w:val="restart"/>
            <w:vAlign w:val="center"/>
          </w:tcPr>
          <w:p w14:paraId="4C5B4F9C" w14:textId="77777777" w:rsidR="0059687C" w:rsidRDefault="0059687C" w:rsidP="00EA639E">
            <w:pPr>
              <w:pStyle w:val="ListParagraph"/>
              <w:spacing w:line="276" w:lineRule="auto"/>
              <w:ind w:left="0"/>
              <w:jc w:val="center"/>
            </w:pPr>
            <w:r>
              <w:t>Poor</w:t>
            </w:r>
          </w:p>
          <w:p w14:paraId="6609EC4F" w14:textId="77777777" w:rsidR="0059687C" w:rsidRDefault="0059687C" w:rsidP="00EA639E">
            <w:pPr>
              <w:pStyle w:val="ListParagraph"/>
              <w:spacing w:line="276" w:lineRule="auto"/>
              <w:ind w:left="0"/>
              <w:jc w:val="center"/>
            </w:pPr>
            <w:r>
              <w:t>Moderate</w:t>
            </w:r>
          </w:p>
          <w:p w14:paraId="25BB8E55" w14:textId="77777777" w:rsidR="0059687C" w:rsidRDefault="0059687C" w:rsidP="001B6DE8">
            <w:pPr>
              <w:pStyle w:val="ListParagraph"/>
              <w:spacing w:line="276" w:lineRule="auto"/>
              <w:ind w:left="0"/>
              <w:jc w:val="center"/>
            </w:pPr>
            <w:r>
              <w:t>Good</w:t>
            </w:r>
          </w:p>
        </w:tc>
        <w:tc>
          <w:tcPr>
            <w:tcW w:w="6210" w:type="dxa"/>
            <w:vMerge w:val="restart"/>
            <w:tcBorders>
              <w:right w:val="single" w:sz="4" w:space="0" w:color="auto"/>
            </w:tcBorders>
            <w:vAlign w:val="center"/>
          </w:tcPr>
          <w:p w14:paraId="2750217B" w14:textId="77777777" w:rsidR="0059687C" w:rsidRDefault="0059687C" w:rsidP="000C78DF">
            <w:pPr>
              <w:pStyle w:val="ListParagraph"/>
              <w:spacing w:line="276" w:lineRule="auto"/>
              <w:ind w:left="0"/>
            </w:pPr>
            <w:r>
              <w:t xml:space="preserve"> No data/information/experience for plan/ design /</w:t>
            </w:r>
            <w:r w:rsidR="00BA6167">
              <w:t>implementation</w:t>
            </w:r>
          </w:p>
          <w:p w14:paraId="482133EA" w14:textId="77777777" w:rsidR="0059687C" w:rsidRDefault="0059687C" w:rsidP="000C78DF">
            <w:pPr>
              <w:pStyle w:val="ListParagraph"/>
              <w:spacing w:line="276" w:lineRule="auto"/>
              <w:ind w:left="0"/>
            </w:pPr>
            <w:r>
              <w:t>Some data, low experience for plan/design/implementation</w:t>
            </w:r>
          </w:p>
          <w:p w14:paraId="3CD175BE" w14:textId="77777777" w:rsidR="0059687C" w:rsidRDefault="0059687C" w:rsidP="00DF4EB7">
            <w:pPr>
              <w:pStyle w:val="ListParagraph"/>
              <w:spacing w:line="276" w:lineRule="auto"/>
              <w:ind w:left="0"/>
            </w:pPr>
            <w:r>
              <w:t>Available data, good experience for plan/design/implementation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EDCC7" w14:textId="77777777" w:rsidR="0059687C" w:rsidRDefault="0059687C" w:rsidP="002D2917">
            <w:pPr>
              <w:pStyle w:val="ListParagraph"/>
              <w:ind w:left="0"/>
            </w:pPr>
            <w:proofErr w:type="gramStart"/>
            <w:r>
              <w:t>1:…</w:t>
            </w:r>
            <w:proofErr w:type="gramEnd"/>
            <w:r>
              <w:t>….</w:t>
            </w:r>
          </w:p>
        </w:tc>
      </w:tr>
      <w:tr w:rsidR="0059687C" w14:paraId="65EF9B35" w14:textId="77777777" w:rsidTr="0059687C">
        <w:trPr>
          <w:trHeight w:val="486"/>
        </w:trPr>
        <w:tc>
          <w:tcPr>
            <w:tcW w:w="1080" w:type="dxa"/>
            <w:vMerge/>
            <w:vAlign w:val="center"/>
          </w:tcPr>
          <w:p w14:paraId="54914762" w14:textId="77777777" w:rsidR="0059687C" w:rsidRDefault="0059687C" w:rsidP="000C78DF">
            <w:pPr>
              <w:pStyle w:val="ListParagraph"/>
              <w:spacing w:line="276" w:lineRule="auto"/>
              <w:ind w:left="0"/>
              <w:rPr>
                <w:b/>
              </w:rPr>
            </w:pPr>
          </w:p>
        </w:tc>
        <w:tc>
          <w:tcPr>
            <w:tcW w:w="1170" w:type="dxa"/>
            <w:vMerge/>
            <w:vAlign w:val="center"/>
          </w:tcPr>
          <w:p w14:paraId="646C4F0B" w14:textId="77777777" w:rsidR="0059687C" w:rsidRDefault="0059687C" w:rsidP="00EA639E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6210" w:type="dxa"/>
            <w:vMerge/>
            <w:tcBorders>
              <w:right w:val="single" w:sz="4" w:space="0" w:color="auto"/>
            </w:tcBorders>
            <w:vAlign w:val="center"/>
          </w:tcPr>
          <w:p w14:paraId="2A214E09" w14:textId="77777777" w:rsidR="0059687C" w:rsidRDefault="0059687C" w:rsidP="000C78DF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BB7E78" w14:textId="77777777" w:rsidR="0059687C" w:rsidRDefault="0059687C" w:rsidP="002D2917">
            <w:pPr>
              <w:pStyle w:val="ListParagraph"/>
              <w:ind w:left="0"/>
            </w:pPr>
            <w:proofErr w:type="gramStart"/>
            <w:r>
              <w:t>2:…</w:t>
            </w:r>
            <w:proofErr w:type="gramEnd"/>
            <w:r>
              <w:t>….</w:t>
            </w:r>
          </w:p>
        </w:tc>
      </w:tr>
      <w:tr w:rsidR="0059687C" w14:paraId="44D8BC73" w14:textId="77777777" w:rsidTr="0059687C">
        <w:trPr>
          <w:trHeight w:val="486"/>
        </w:trPr>
        <w:tc>
          <w:tcPr>
            <w:tcW w:w="1080" w:type="dxa"/>
            <w:vMerge w:val="restart"/>
            <w:vAlign w:val="center"/>
          </w:tcPr>
          <w:p w14:paraId="34222363" w14:textId="77777777" w:rsidR="0059687C" w:rsidRPr="00BB6C4A" w:rsidRDefault="0059687C" w:rsidP="000C78DF">
            <w:pPr>
              <w:pStyle w:val="ListParagraph"/>
              <w:spacing w:line="276" w:lineRule="auto"/>
              <w:ind w:left="0"/>
              <w:rPr>
                <w:b/>
              </w:rPr>
            </w:pPr>
            <w:proofErr w:type="spellStart"/>
            <w:r>
              <w:rPr>
                <w:b/>
              </w:rPr>
              <w:t>Institu-tional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14:paraId="1CB44C5B" w14:textId="77777777" w:rsidR="0059687C" w:rsidRDefault="0059687C" w:rsidP="001B6DE8">
            <w:pPr>
              <w:pStyle w:val="ListParagraph"/>
              <w:spacing w:line="276" w:lineRule="auto"/>
              <w:ind w:left="0"/>
              <w:jc w:val="center"/>
            </w:pPr>
            <w:r>
              <w:t>Poor</w:t>
            </w:r>
          </w:p>
          <w:p w14:paraId="4BE20C29" w14:textId="77777777" w:rsidR="0059687C" w:rsidRDefault="0059687C" w:rsidP="001B6DE8">
            <w:pPr>
              <w:pStyle w:val="ListParagraph"/>
              <w:spacing w:line="276" w:lineRule="auto"/>
              <w:ind w:left="0"/>
              <w:jc w:val="center"/>
            </w:pPr>
            <w:r>
              <w:t>Moderate</w:t>
            </w:r>
          </w:p>
          <w:p w14:paraId="39F95736" w14:textId="77777777" w:rsidR="0059687C" w:rsidRDefault="0059687C" w:rsidP="001B6DE8">
            <w:pPr>
              <w:pStyle w:val="ListParagraph"/>
              <w:spacing w:line="276" w:lineRule="auto"/>
              <w:ind w:left="0"/>
              <w:jc w:val="center"/>
            </w:pPr>
            <w:r>
              <w:t>Good</w:t>
            </w:r>
          </w:p>
        </w:tc>
        <w:tc>
          <w:tcPr>
            <w:tcW w:w="6210" w:type="dxa"/>
            <w:vMerge w:val="restart"/>
            <w:tcBorders>
              <w:right w:val="single" w:sz="4" w:space="0" w:color="auto"/>
            </w:tcBorders>
            <w:vAlign w:val="center"/>
          </w:tcPr>
          <w:p w14:paraId="2D93960C" w14:textId="77777777" w:rsidR="0059687C" w:rsidRDefault="0059687C" w:rsidP="000C78DF">
            <w:pPr>
              <w:pStyle w:val="ListParagraph"/>
              <w:spacing w:line="276" w:lineRule="auto"/>
              <w:ind w:left="0"/>
            </w:pPr>
            <w:r>
              <w:t>No coordination/cooperation, lack of regulation/law/code</w:t>
            </w:r>
          </w:p>
          <w:p w14:paraId="11F025A0" w14:textId="77777777" w:rsidR="0059687C" w:rsidRDefault="0059687C" w:rsidP="001B6DE8">
            <w:pPr>
              <w:pStyle w:val="ListParagraph"/>
              <w:spacing w:line="276" w:lineRule="auto"/>
              <w:ind w:left="0"/>
            </w:pPr>
            <w:r>
              <w:t>Some coordination/cooperation, missing of regulation/law/code</w:t>
            </w:r>
          </w:p>
          <w:p w14:paraId="44E027BE" w14:textId="77777777" w:rsidR="0059687C" w:rsidRDefault="0059687C" w:rsidP="000C78DF">
            <w:pPr>
              <w:pStyle w:val="ListParagraph"/>
              <w:spacing w:line="276" w:lineRule="auto"/>
              <w:ind w:left="0"/>
            </w:pPr>
            <w:r>
              <w:t xml:space="preserve">Good coordination/cooperation, available regulation/law/code 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617BD6" w14:textId="77777777" w:rsidR="0059687C" w:rsidRDefault="0059687C" w:rsidP="002D2917">
            <w:pPr>
              <w:pStyle w:val="ListParagraph"/>
              <w:ind w:left="0"/>
            </w:pPr>
            <w:proofErr w:type="gramStart"/>
            <w:r>
              <w:t>1:…</w:t>
            </w:r>
            <w:proofErr w:type="gramEnd"/>
            <w:r>
              <w:t>….</w:t>
            </w:r>
          </w:p>
        </w:tc>
      </w:tr>
      <w:tr w:rsidR="0059687C" w14:paraId="663C9EA8" w14:textId="77777777" w:rsidTr="0059687C">
        <w:trPr>
          <w:trHeight w:val="486"/>
        </w:trPr>
        <w:tc>
          <w:tcPr>
            <w:tcW w:w="1080" w:type="dxa"/>
            <w:vMerge/>
            <w:vAlign w:val="center"/>
          </w:tcPr>
          <w:p w14:paraId="49C25D58" w14:textId="77777777" w:rsidR="0059687C" w:rsidRDefault="0059687C" w:rsidP="000C78DF">
            <w:pPr>
              <w:pStyle w:val="ListParagraph"/>
              <w:spacing w:line="276" w:lineRule="auto"/>
              <w:ind w:left="0"/>
              <w:rPr>
                <w:b/>
              </w:rPr>
            </w:pPr>
          </w:p>
        </w:tc>
        <w:tc>
          <w:tcPr>
            <w:tcW w:w="1170" w:type="dxa"/>
            <w:vMerge/>
            <w:vAlign w:val="center"/>
          </w:tcPr>
          <w:p w14:paraId="4083E371" w14:textId="77777777" w:rsidR="0059687C" w:rsidRDefault="0059687C" w:rsidP="001B6DE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6210" w:type="dxa"/>
            <w:vMerge/>
            <w:tcBorders>
              <w:right w:val="single" w:sz="4" w:space="0" w:color="auto"/>
            </w:tcBorders>
            <w:vAlign w:val="center"/>
          </w:tcPr>
          <w:p w14:paraId="1EB9442A" w14:textId="77777777" w:rsidR="0059687C" w:rsidRDefault="0059687C" w:rsidP="000C78DF">
            <w:pPr>
              <w:pStyle w:val="ListParagraph"/>
              <w:spacing w:line="276" w:lineRule="auto"/>
              <w:ind w:left="0"/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78B821" w14:textId="77777777" w:rsidR="0059687C" w:rsidRDefault="0059687C" w:rsidP="002D2917">
            <w:pPr>
              <w:pStyle w:val="ListParagraph"/>
              <w:ind w:left="0"/>
            </w:pPr>
            <w:proofErr w:type="gramStart"/>
            <w:r>
              <w:t>2:…</w:t>
            </w:r>
            <w:proofErr w:type="gramEnd"/>
            <w:r>
              <w:t>….</w:t>
            </w:r>
          </w:p>
        </w:tc>
      </w:tr>
    </w:tbl>
    <w:p w14:paraId="3E9F769D" w14:textId="77777777" w:rsidR="000C2B82" w:rsidRDefault="000C2B82" w:rsidP="000C2B82">
      <w:pPr>
        <w:pStyle w:val="Heading3"/>
      </w:pPr>
    </w:p>
    <w:p w14:paraId="069627E0" w14:textId="77777777" w:rsidR="000C2B82" w:rsidRDefault="006E21B7" w:rsidP="006E21B7">
      <w:pPr>
        <w:pStyle w:val="Heading2"/>
      </w:pPr>
      <w:r>
        <w:t>Step</w:t>
      </w:r>
      <w:r w:rsidR="000C2B82" w:rsidRPr="00682889">
        <w:t xml:space="preserve"> </w:t>
      </w:r>
      <w:r w:rsidR="00AA6189">
        <w:t>3</w:t>
      </w:r>
      <w:r w:rsidR="000C2B82" w:rsidRPr="00682889">
        <w:t xml:space="preserve">: </w:t>
      </w:r>
      <w:r w:rsidR="00AA6189">
        <w:t>Option</w:t>
      </w:r>
      <w:r w:rsidR="000C2B82" w:rsidRPr="00682889">
        <w:t xml:space="preserve"> Evaluation</w:t>
      </w:r>
    </w:p>
    <w:p w14:paraId="498470C0" w14:textId="77777777" w:rsidR="006E21B7" w:rsidRPr="006E21B7" w:rsidRDefault="006E21B7" w:rsidP="006E21B7">
      <w:r>
        <w:t>For each axis, mark your ratings</w:t>
      </w:r>
      <w:r w:rsidR="00EE4010">
        <w:t xml:space="preserve"> in </w:t>
      </w:r>
      <w:proofErr w:type="gramStart"/>
      <w:r w:rsidR="00EE4010">
        <w:t>the table</w:t>
      </w:r>
      <w:proofErr w:type="gramEnd"/>
      <w:r w:rsidR="00EE4010">
        <w:t xml:space="preserve"> 2,</w:t>
      </w:r>
      <w:r>
        <w:t xml:space="preserve"> respectively</w:t>
      </w:r>
      <w:r w:rsidR="00EE4010">
        <w:t>,</w:t>
      </w:r>
      <w:r>
        <w:t xml:space="preserve"> and connect the points to form the FIT Ability Triangle. The Overall Ability score will be evaluated as compared with the 3 triangles of the graph given below: (</w:t>
      </w:r>
      <w:proofErr w:type="spellStart"/>
      <w:r>
        <w:t>i</w:t>
      </w:r>
      <w:proofErr w:type="spellEnd"/>
      <w:r>
        <w:t xml:space="preserve">) </w:t>
      </w:r>
      <w:r w:rsidRPr="009770F1">
        <w:rPr>
          <w:b/>
        </w:rPr>
        <w:t>Poor</w:t>
      </w:r>
      <w:r>
        <w:t xml:space="preserve">: if your triangle is almost within the smallest one; (ii) </w:t>
      </w:r>
      <w:r w:rsidRPr="009770F1">
        <w:rPr>
          <w:b/>
        </w:rPr>
        <w:t>Moderate</w:t>
      </w:r>
      <w:r>
        <w:t xml:space="preserve">: if your triangle is approximately </w:t>
      </w:r>
      <w:proofErr w:type="gramStart"/>
      <w:r>
        <w:t>similar to</w:t>
      </w:r>
      <w:proofErr w:type="gramEnd"/>
      <w:r>
        <w:t xml:space="preserve"> the second largest one; and (iii) </w:t>
      </w:r>
      <w:r w:rsidR="009770F1" w:rsidRPr="009770F1">
        <w:rPr>
          <w:b/>
        </w:rPr>
        <w:t>Good</w:t>
      </w:r>
      <w:r w:rsidR="009770F1">
        <w:t xml:space="preserve">: </w:t>
      </w:r>
      <w:r>
        <w:t>if your triangle can cover the two small triangles of the graph.</w:t>
      </w:r>
    </w:p>
    <w:p w14:paraId="78E64E50" w14:textId="77777777" w:rsidR="00AA6189" w:rsidRDefault="00AA6189" w:rsidP="0059687C">
      <w:pPr>
        <w:jc w:val="center"/>
        <w:rPr>
          <w:b/>
        </w:rPr>
      </w:pPr>
      <w:r w:rsidRPr="00AA6189">
        <w:rPr>
          <w:b/>
          <w:noProof/>
        </w:rPr>
        <w:drawing>
          <wp:inline distT="0" distB="0" distL="0" distR="0" wp14:anchorId="1EA0A942" wp14:editId="1489FA82">
            <wp:extent cx="4848225" cy="28575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5747BA" w14:textId="77777777" w:rsidR="00524E4A" w:rsidRDefault="00524E4A" w:rsidP="00524E4A">
      <w:pPr>
        <w:pStyle w:val="Heading2"/>
      </w:pPr>
      <w:r>
        <w:lastRenderedPageBreak/>
        <w:t>Step 4: MOTA mapping</w:t>
      </w:r>
      <w:r w:rsidR="0083425D">
        <w:t xml:space="preserve"> for each group</w:t>
      </w:r>
    </w:p>
    <w:p w14:paraId="4D677D5E" w14:textId="77777777" w:rsidR="00524E4A" w:rsidRDefault="00524E4A" w:rsidP="00524E4A">
      <w:r>
        <w:t>In the graph given below, mark your MOTA point using results of step 2 and step 3.</w:t>
      </w:r>
    </w:p>
    <w:p w14:paraId="16414DFA" w14:textId="77777777" w:rsidR="00524E4A" w:rsidRDefault="00771621" w:rsidP="00524E4A"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C5C032E" wp14:editId="40F2A6CC">
                <wp:simplePos x="0" y="0"/>
                <wp:positionH relativeFrom="column">
                  <wp:posOffset>333375</wp:posOffset>
                </wp:positionH>
                <wp:positionV relativeFrom="paragraph">
                  <wp:posOffset>750570</wp:posOffset>
                </wp:positionV>
                <wp:extent cx="5512435" cy="2095500"/>
                <wp:effectExtent l="0" t="0" r="254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2435" cy="2095500"/>
                          <a:chOff x="1965" y="3967"/>
                          <a:chExt cx="8681" cy="3300"/>
                        </a:xfrm>
                      </wpg:grpSpPr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225" y="3967"/>
                            <a:ext cx="1421" cy="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60BE3" w14:textId="77777777" w:rsidR="004C4F4C" w:rsidRPr="009770F1" w:rsidRDefault="004C4F4C" w:rsidP="00524E4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>Good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225" y="4882"/>
                            <a:ext cx="1421" cy="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5159D" w14:textId="77777777" w:rsidR="004C4F4C" w:rsidRPr="009770F1" w:rsidRDefault="004C4F4C" w:rsidP="00524E4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>Moderate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225" y="5858"/>
                            <a:ext cx="1421" cy="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8CD80" w14:textId="77777777" w:rsidR="004C4F4C" w:rsidRPr="009770F1" w:rsidRDefault="004C4F4C" w:rsidP="00524E4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>Poor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6847"/>
                            <a:ext cx="715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AAFE3" w14:textId="77777777" w:rsidR="004C4F4C" w:rsidRPr="009770F1" w:rsidRDefault="004C4F4C" w:rsidP="00524E4A">
                              <w:pPr>
                                <w:spacing w:before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Str. oppose               </w:t>
                              </w:r>
                              <w:proofErr w:type="spellStart"/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>Oppose</w:t>
                              </w:r>
                              <w:proofErr w:type="spellEnd"/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 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Neutral             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Support     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Str. support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C032E" id="Group 7" o:spid="_x0000_s1026" style="position:absolute;margin-left:26.25pt;margin-top:59.1pt;width:434.05pt;height:165pt;z-index:251666432" coordorigin="1965,3967" coordsize="8681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9225;top:3967;width:1421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4CC60BE3" w14:textId="77777777" w:rsidR="004C4F4C" w:rsidRPr="009770F1" w:rsidRDefault="004C4F4C" w:rsidP="00524E4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>Good</w:t>
                        </w:r>
                      </w:p>
                    </w:txbxContent>
                  </v:textbox>
                </v:shape>
                <v:shape id="Text Box 9" o:spid="_x0000_s1028" type="#_x0000_t202" style="position:absolute;left:9225;top:4882;width:1421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21C5159D" w14:textId="77777777" w:rsidR="004C4F4C" w:rsidRPr="009770F1" w:rsidRDefault="004C4F4C" w:rsidP="00524E4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>Moderate</w:t>
                        </w:r>
                      </w:p>
                    </w:txbxContent>
                  </v:textbox>
                </v:shape>
                <v:shape id="Text Box 10" o:spid="_x0000_s1029" type="#_x0000_t202" style="position:absolute;left:9225;top:5858;width:1421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0BB8CD80" w14:textId="77777777" w:rsidR="004C4F4C" w:rsidRPr="009770F1" w:rsidRDefault="004C4F4C" w:rsidP="00524E4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>Poor</w:t>
                        </w:r>
                      </w:p>
                    </w:txbxContent>
                  </v:textbox>
                </v:shape>
                <v:shape id="Text Box 11" o:spid="_x0000_s1030" type="#_x0000_t202" style="position:absolute;left:1965;top:6847;width:715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488AAFE3" w14:textId="77777777" w:rsidR="004C4F4C" w:rsidRPr="009770F1" w:rsidRDefault="004C4F4C" w:rsidP="00524E4A">
                        <w:pPr>
                          <w:spacing w:before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 xml:space="preserve">Str. oppose               </w:t>
                        </w:r>
                        <w:proofErr w:type="spellStart"/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>Oppose</w:t>
                        </w:r>
                        <w:proofErr w:type="spellEnd"/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 xml:space="preserve">             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</w:t>
                        </w:r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 xml:space="preserve">Neutral               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 xml:space="preserve">Support       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</w:t>
                        </w:r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 xml:space="preserve"> Str. support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4E4A" w:rsidRPr="009A51C1">
        <w:rPr>
          <w:noProof/>
        </w:rPr>
        <w:drawing>
          <wp:inline distT="0" distB="0" distL="0" distR="0" wp14:anchorId="37F5A498" wp14:editId="65B835CE">
            <wp:extent cx="5172075" cy="3200400"/>
            <wp:effectExtent l="0" t="0" r="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2592697" w14:textId="77777777" w:rsidR="0059687C" w:rsidRDefault="00AB2367" w:rsidP="00AB2367">
      <w:pPr>
        <w:pStyle w:val="Heading2"/>
      </w:pPr>
      <w:r>
        <w:t>Step 5: Discussion questions</w:t>
      </w:r>
    </w:p>
    <w:p w14:paraId="112A6698" w14:textId="77777777" w:rsidR="0059687C" w:rsidRDefault="0059687C" w:rsidP="0059687C">
      <w:pPr>
        <w:pStyle w:val="ListParagraph"/>
        <w:numPr>
          <w:ilvl w:val="0"/>
          <w:numId w:val="19"/>
        </w:numPr>
      </w:pPr>
      <w:r>
        <w:t>What could be the obstacle(s) in implementation of your options?</w:t>
      </w:r>
    </w:p>
    <w:p w14:paraId="22AE92BD" w14:textId="77777777" w:rsidR="00AB2367" w:rsidRDefault="0059687C" w:rsidP="0059687C">
      <w:pPr>
        <w:pStyle w:val="ListParagraph"/>
        <w:numPr>
          <w:ilvl w:val="0"/>
          <w:numId w:val="19"/>
        </w:numPr>
      </w:pPr>
      <w:r>
        <w:t xml:space="preserve">Considering the obstacles, may you change your </w:t>
      </w:r>
      <w:r w:rsidR="002D2917">
        <w:t>motivation toward the options?</w:t>
      </w:r>
    </w:p>
    <w:p w14:paraId="1E401502" w14:textId="77777777" w:rsidR="00524E4A" w:rsidRDefault="00AB2367" w:rsidP="0059687C">
      <w:pPr>
        <w:pStyle w:val="ListParagraph"/>
        <w:numPr>
          <w:ilvl w:val="0"/>
          <w:numId w:val="19"/>
        </w:numPr>
      </w:pPr>
      <w:r>
        <w:t>What could be your new option?</w:t>
      </w:r>
      <w:r w:rsidR="00524E4A">
        <w:br w:type="page"/>
      </w:r>
    </w:p>
    <w:p w14:paraId="1B72B7FC" w14:textId="77777777" w:rsidR="00524E4A" w:rsidRDefault="00524E4A" w:rsidP="00524E4A">
      <w:pPr>
        <w:pStyle w:val="Heading1"/>
      </w:pPr>
      <w:r>
        <w:lastRenderedPageBreak/>
        <w:t xml:space="preserve">Part 2: </w:t>
      </w:r>
      <w:r w:rsidR="00EE4010">
        <w:t>Top-down planning</w:t>
      </w:r>
    </w:p>
    <w:p w14:paraId="1B08F240" w14:textId="77777777" w:rsidR="0083425D" w:rsidRDefault="0083425D" w:rsidP="0083425D">
      <w:pPr>
        <w:pStyle w:val="Heading2"/>
      </w:pPr>
    </w:p>
    <w:p w14:paraId="41424177" w14:textId="10B467DF" w:rsidR="0083425D" w:rsidRDefault="0083425D" w:rsidP="0083425D">
      <w:pPr>
        <w:pStyle w:val="Heading2"/>
      </w:pPr>
      <w:r>
        <w:t xml:space="preserve">Step </w:t>
      </w:r>
      <w:r w:rsidR="00AB2367">
        <w:t>6</w:t>
      </w:r>
      <w:r>
        <w:t xml:space="preserve">: MOTA mapping for option </w:t>
      </w:r>
      <w:proofErr w:type="spellStart"/>
      <w:r w:rsidR="009C33E3">
        <w:t>MoWE</w:t>
      </w:r>
      <w:proofErr w:type="spellEnd"/>
    </w:p>
    <w:p w14:paraId="25D63F42" w14:textId="12E5F420" w:rsidR="002D2917" w:rsidRDefault="0083425D" w:rsidP="002D2917">
      <w:r>
        <w:t xml:space="preserve">The </w:t>
      </w:r>
      <w:r w:rsidR="002D2917">
        <w:t xml:space="preserve">option </w:t>
      </w:r>
      <w:r w:rsidR="009C33E3">
        <w:t>M</w:t>
      </w:r>
      <w:r w:rsidR="002D2917">
        <w:t xml:space="preserve">1 suggested by the </w:t>
      </w:r>
      <w:proofErr w:type="spellStart"/>
      <w:r w:rsidR="009C33E3">
        <w:t>MoWE</w:t>
      </w:r>
      <w:proofErr w:type="spellEnd"/>
      <w:r w:rsidR="002D2917">
        <w:t xml:space="preserve"> will be introduced to the </w:t>
      </w:r>
      <w:r w:rsidR="009C33E3">
        <w:t>other stakeholders</w:t>
      </w:r>
      <w:r w:rsidR="002D2917">
        <w:t>.</w:t>
      </w:r>
      <w:r>
        <w:t xml:space="preserve"> </w:t>
      </w:r>
      <w:r w:rsidR="002D2917">
        <w:t xml:space="preserve">These </w:t>
      </w:r>
      <w:r w:rsidR="009C33E3">
        <w:t xml:space="preserve">stakeholders </w:t>
      </w:r>
      <w:r w:rsidR="002D2917">
        <w:t xml:space="preserve">will </w:t>
      </w:r>
      <w:proofErr w:type="spellStart"/>
      <w:r w:rsidR="002D2917">
        <w:t>analyse</w:t>
      </w:r>
      <w:proofErr w:type="spellEnd"/>
      <w:r w:rsidR="002D2917">
        <w:t xml:space="preserve"> </w:t>
      </w:r>
      <w:proofErr w:type="gramStart"/>
      <w:r w:rsidR="002D2917">
        <w:t>the options</w:t>
      </w:r>
      <w:proofErr w:type="gramEnd"/>
      <w:r w:rsidR="002D2917">
        <w:t xml:space="preserve"> </w:t>
      </w:r>
      <w:r w:rsidR="009C33E3">
        <w:t>M</w:t>
      </w:r>
      <w:r w:rsidR="002D2917">
        <w:t xml:space="preserve">1 by </w:t>
      </w:r>
      <w:r>
        <w:t>repeat</w:t>
      </w:r>
      <w:r w:rsidR="00F31970">
        <w:t>ing</w:t>
      </w:r>
      <w:r>
        <w:t xml:space="preserve"> </w:t>
      </w:r>
      <w:proofErr w:type="gramStart"/>
      <w:r>
        <w:t>the step</w:t>
      </w:r>
      <w:r w:rsidR="00F31970">
        <w:t>s</w:t>
      </w:r>
      <w:proofErr w:type="gramEnd"/>
      <w:r>
        <w:t xml:space="preserve"> 2 to 4.</w:t>
      </w:r>
      <w:r w:rsidR="002D2917" w:rsidRPr="002D2917">
        <w:t xml:space="preserve"> </w:t>
      </w:r>
      <w:r w:rsidR="002D2917">
        <w:t xml:space="preserve">All MOTA points (of the 4 groups) for </w:t>
      </w:r>
      <w:proofErr w:type="gramStart"/>
      <w:r w:rsidR="002D2917">
        <w:t>the option</w:t>
      </w:r>
      <w:proofErr w:type="gramEnd"/>
      <w:r w:rsidR="002D2917">
        <w:t xml:space="preserve"> </w:t>
      </w:r>
      <w:r w:rsidR="009C33E3">
        <w:t>M</w:t>
      </w:r>
      <w:r w:rsidR="002D2917">
        <w:t>1 will be marked on the graph below.</w:t>
      </w:r>
    </w:p>
    <w:p w14:paraId="27459654" w14:textId="77777777" w:rsidR="00524E4A" w:rsidRDefault="00771621" w:rsidP="006E21B7"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6F510D3" wp14:editId="62936B8E">
                <wp:simplePos x="0" y="0"/>
                <wp:positionH relativeFrom="column">
                  <wp:posOffset>333375</wp:posOffset>
                </wp:positionH>
                <wp:positionV relativeFrom="paragraph">
                  <wp:posOffset>750570</wp:posOffset>
                </wp:positionV>
                <wp:extent cx="5512435" cy="2095500"/>
                <wp:effectExtent l="0" t="635" r="254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2435" cy="2095500"/>
                          <a:chOff x="1965" y="3967"/>
                          <a:chExt cx="8681" cy="3300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225" y="3967"/>
                            <a:ext cx="1421" cy="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2031C" w14:textId="77777777" w:rsidR="004C4F4C" w:rsidRPr="009770F1" w:rsidRDefault="004C4F4C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>Good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225" y="4882"/>
                            <a:ext cx="1421" cy="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D34C6" w14:textId="77777777" w:rsidR="004C4F4C" w:rsidRPr="009770F1" w:rsidRDefault="004C4F4C" w:rsidP="009770F1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>Moderate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225" y="5858"/>
                            <a:ext cx="1421" cy="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02DB0" w14:textId="77777777" w:rsidR="004C4F4C" w:rsidRPr="009770F1" w:rsidRDefault="004C4F4C" w:rsidP="009770F1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>Poor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6847"/>
                            <a:ext cx="715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B19A0" w14:textId="77777777" w:rsidR="004C4F4C" w:rsidRPr="009770F1" w:rsidRDefault="004C4F4C" w:rsidP="009770F1">
                              <w:pPr>
                                <w:spacing w:before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Str. oppose               </w:t>
                              </w:r>
                              <w:proofErr w:type="spellStart"/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>Oppose</w:t>
                              </w:r>
                              <w:proofErr w:type="spellEnd"/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 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Neutral             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Support      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9770F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Str. support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510D3" id="Group 6" o:spid="_x0000_s1031" style="position:absolute;margin-left:26.25pt;margin-top:59.1pt;width:434.05pt;height:165pt;z-index:251664384" coordorigin="1965,3967" coordsize="8681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">
                <v:shape id="Text Box 2" o:spid="_x0000_s1032" type="#_x0000_t202" style="position:absolute;left:9225;top:3967;width:1421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A32031C" w14:textId="77777777" w:rsidR="004C4F4C" w:rsidRPr="009770F1" w:rsidRDefault="004C4F4C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>Good</w:t>
                        </w:r>
                      </w:p>
                    </w:txbxContent>
                  </v:textbox>
                </v:shape>
                <v:shape id="Text Box 3" o:spid="_x0000_s1033" type="#_x0000_t202" style="position:absolute;left:9225;top:4882;width:1421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31D34C6" w14:textId="77777777" w:rsidR="004C4F4C" w:rsidRPr="009770F1" w:rsidRDefault="004C4F4C" w:rsidP="009770F1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>Moderate</w:t>
                        </w:r>
                      </w:p>
                    </w:txbxContent>
                  </v:textbox>
                </v:shape>
                <v:shape id="Text Box 4" o:spid="_x0000_s1034" type="#_x0000_t202" style="position:absolute;left:9225;top:5858;width:1421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0D802DB0" w14:textId="77777777" w:rsidR="004C4F4C" w:rsidRPr="009770F1" w:rsidRDefault="004C4F4C" w:rsidP="009770F1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>Poor</w:t>
                        </w:r>
                      </w:p>
                    </w:txbxContent>
                  </v:textbox>
                </v:shape>
                <v:shape id="Text Box 5" o:spid="_x0000_s1035" type="#_x0000_t202" style="position:absolute;left:1965;top:6847;width:715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22B19A0" w14:textId="77777777" w:rsidR="004C4F4C" w:rsidRPr="009770F1" w:rsidRDefault="004C4F4C" w:rsidP="009770F1">
                        <w:pPr>
                          <w:spacing w:before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 xml:space="preserve">Str. oppose               </w:t>
                        </w:r>
                        <w:proofErr w:type="spellStart"/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>Oppose</w:t>
                        </w:r>
                        <w:proofErr w:type="spellEnd"/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 xml:space="preserve">             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</w:t>
                        </w:r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 xml:space="preserve">Neutral               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 xml:space="preserve">Support       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</w:t>
                        </w:r>
                        <w:r w:rsidRPr="009770F1">
                          <w:rPr>
                            <w:b/>
                            <w:sz w:val="20"/>
                            <w:szCs w:val="20"/>
                          </w:rPr>
                          <w:t xml:space="preserve"> Str. support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51C1" w:rsidRPr="009A51C1">
        <w:rPr>
          <w:noProof/>
        </w:rPr>
        <w:drawing>
          <wp:inline distT="0" distB="0" distL="0" distR="0" wp14:anchorId="4C921EEC" wp14:editId="44E8208C">
            <wp:extent cx="5172075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3A4D5B4" w14:textId="77777777" w:rsidR="00524E4A" w:rsidRDefault="0083425D" w:rsidP="00C930B9">
      <w:pPr>
        <w:pStyle w:val="Heading2"/>
      </w:pPr>
      <w:r>
        <w:t>Step</w:t>
      </w:r>
      <w:r w:rsidR="00AB2367">
        <w:t xml:space="preserve"> </w:t>
      </w:r>
      <w:proofErr w:type="gramStart"/>
      <w:r w:rsidR="00AB2367">
        <w:t>7</w:t>
      </w:r>
      <w:r>
        <w:t xml:space="preserve"> :</w:t>
      </w:r>
      <w:proofErr w:type="gramEnd"/>
      <w:r>
        <w:t xml:space="preserve"> Discussion questions</w:t>
      </w:r>
    </w:p>
    <w:p w14:paraId="0813138D" w14:textId="77777777" w:rsidR="009C33E3" w:rsidRDefault="0083425D" w:rsidP="0083425D">
      <w:pPr>
        <w:pStyle w:val="ListParagraph"/>
        <w:numPr>
          <w:ilvl w:val="0"/>
          <w:numId w:val="18"/>
        </w:numPr>
      </w:pPr>
      <w:r>
        <w:t xml:space="preserve">How different are the motivations of </w:t>
      </w:r>
      <w:r w:rsidR="000C2DC6">
        <w:t xml:space="preserve">relevant </w:t>
      </w:r>
      <w:r>
        <w:t xml:space="preserve">actors with respect to </w:t>
      </w:r>
      <w:proofErr w:type="gramStart"/>
      <w:r>
        <w:t>the option</w:t>
      </w:r>
      <w:proofErr w:type="gramEnd"/>
      <w:r>
        <w:t xml:space="preserve"> </w:t>
      </w:r>
      <w:r w:rsidR="009C33E3">
        <w:t>M1-2</w:t>
      </w:r>
    </w:p>
    <w:p w14:paraId="55A73547" w14:textId="4A99C478" w:rsidR="0083425D" w:rsidRDefault="0083425D" w:rsidP="009C33E3">
      <w:pPr>
        <w:pStyle w:val="ListParagraph"/>
      </w:pPr>
      <w:r>
        <w:t xml:space="preserve">suggested by the </w:t>
      </w:r>
      <w:proofErr w:type="spellStart"/>
      <w:r w:rsidR="009C33E3">
        <w:t>MoWE</w:t>
      </w:r>
      <w:proofErr w:type="spellEnd"/>
      <w:r>
        <w:t>?</w:t>
      </w:r>
    </w:p>
    <w:p w14:paraId="0AB3CB4C" w14:textId="54EE6405" w:rsidR="0083425D" w:rsidRDefault="0083425D" w:rsidP="0083425D">
      <w:pPr>
        <w:pStyle w:val="ListParagraph"/>
        <w:numPr>
          <w:ilvl w:val="0"/>
          <w:numId w:val="18"/>
        </w:numPr>
      </w:pPr>
      <w:r>
        <w:t xml:space="preserve">How feasible is </w:t>
      </w:r>
      <w:proofErr w:type="gramStart"/>
      <w:r>
        <w:t>the option</w:t>
      </w:r>
      <w:proofErr w:type="gramEnd"/>
      <w:r>
        <w:t xml:space="preserve"> </w:t>
      </w:r>
      <w:r w:rsidR="009C33E3">
        <w:t>M1-2</w:t>
      </w:r>
      <w:r w:rsidR="00C930B9">
        <w:t xml:space="preserve"> considering motivation conflicts and available ability?</w:t>
      </w:r>
    </w:p>
    <w:p w14:paraId="2E8AE8AB" w14:textId="77777777" w:rsidR="00C930B9" w:rsidRDefault="00C930B9" w:rsidP="00C930B9">
      <w:pPr>
        <w:pStyle w:val="Heading2"/>
      </w:pPr>
    </w:p>
    <w:p w14:paraId="220CBB98" w14:textId="77777777" w:rsidR="00AB2367" w:rsidRDefault="00AB236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5D857708" w14:textId="77777777" w:rsidR="00AB2367" w:rsidRDefault="00BA6167" w:rsidP="00AB2367">
      <w:pPr>
        <w:pStyle w:val="Heading1"/>
      </w:pPr>
      <w:r>
        <w:lastRenderedPageBreak/>
        <w:t>Part 3</w:t>
      </w:r>
      <w:r w:rsidR="00AB2367">
        <w:t>: Bottom-up response</w:t>
      </w:r>
    </w:p>
    <w:p w14:paraId="64344C50" w14:textId="77777777" w:rsidR="00AB2367" w:rsidRDefault="00AB2367" w:rsidP="00C930B9">
      <w:pPr>
        <w:pStyle w:val="Heading2"/>
      </w:pPr>
    </w:p>
    <w:p w14:paraId="4560942B" w14:textId="77777777" w:rsidR="009A51C1" w:rsidRDefault="00524E4A" w:rsidP="00C930B9">
      <w:pPr>
        <w:pStyle w:val="Heading2"/>
      </w:pPr>
      <w:r>
        <w:t xml:space="preserve">Step </w:t>
      </w:r>
      <w:r w:rsidR="00AB2367">
        <w:t>8</w:t>
      </w:r>
      <w:r>
        <w:t xml:space="preserve">: </w:t>
      </w:r>
      <w:r w:rsidR="00AB2367">
        <w:t>Bottom-up suggestions</w:t>
      </w:r>
    </w:p>
    <w:p w14:paraId="2521202C" w14:textId="07EC7391" w:rsidR="00C930B9" w:rsidRDefault="00C930B9" w:rsidP="00C930B9">
      <w:r>
        <w:t xml:space="preserve">The </w:t>
      </w:r>
      <w:r w:rsidR="009C33E3">
        <w:t>other stakeholders</w:t>
      </w:r>
      <w:r w:rsidR="00A722FD">
        <w:t xml:space="preserve"> will introduce</w:t>
      </w:r>
      <w:r w:rsidR="00AB2367">
        <w:t xml:space="preserve"> their most favored options to the </w:t>
      </w:r>
      <w:proofErr w:type="spellStart"/>
      <w:r w:rsidR="009C33E3">
        <w:t>MoWE</w:t>
      </w:r>
      <w:proofErr w:type="spellEnd"/>
      <w:r w:rsidR="00AB2367">
        <w:t xml:space="preserve"> (one option per </w:t>
      </w:r>
      <w:r w:rsidR="009C33E3">
        <w:t>stakeholder)</w:t>
      </w:r>
      <w:r w:rsidR="00AB2367">
        <w:t xml:space="preserve"> </w:t>
      </w:r>
    </w:p>
    <w:p w14:paraId="02DBF6B4" w14:textId="77777777" w:rsidR="000C2DC6" w:rsidRDefault="000C2DC6" w:rsidP="000C2DC6">
      <w:pPr>
        <w:pStyle w:val="Heading2"/>
      </w:pPr>
    </w:p>
    <w:p w14:paraId="4B940C24" w14:textId="77777777" w:rsidR="00AB2367" w:rsidRDefault="00AB2367" w:rsidP="000C2DC6">
      <w:pPr>
        <w:pStyle w:val="Heading2"/>
      </w:pPr>
      <w:r>
        <w:t>Step 9: To understand each other</w:t>
      </w:r>
      <w:r w:rsidR="00F31970">
        <w:t>’s motivation</w:t>
      </w:r>
    </w:p>
    <w:p w14:paraId="09A29621" w14:textId="77777777" w:rsidR="00AB2367" w:rsidRDefault="00AB2367" w:rsidP="00C930B9">
      <w:r>
        <w:t>Discussion questions:</w:t>
      </w:r>
    </w:p>
    <w:p w14:paraId="3D661A53" w14:textId="77777777" w:rsidR="009520E9" w:rsidRDefault="009520E9" w:rsidP="00AB2367">
      <w:pPr>
        <w:pStyle w:val="ListParagraph"/>
        <w:numPr>
          <w:ilvl w:val="0"/>
          <w:numId w:val="20"/>
        </w:numPr>
      </w:pPr>
      <w:r>
        <w:t>What are the most important features of the bottom-up suggestions?</w:t>
      </w:r>
    </w:p>
    <w:p w14:paraId="110CADAF" w14:textId="6EA99B10" w:rsidR="00AB2367" w:rsidRDefault="00AB2367" w:rsidP="00AB2367">
      <w:pPr>
        <w:pStyle w:val="ListParagraph"/>
        <w:numPr>
          <w:ilvl w:val="0"/>
          <w:numId w:val="20"/>
        </w:numPr>
      </w:pPr>
      <w:r>
        <w:t xml:space="preserve">Why </w:t>
      </w:r>
      <w:proofErr w:type="gramStart"/>
      <w:r>
        <w:t xml:space="preserve">the option </w:t>
      </w:r>
      <w:proofErr w:type="spellStart"/>
      <w:r w:rsidR="009C33E3">
        <w:t>MoWE</w:t>
      </w:r>
      <w:proofErr w:type="spellEnd"/>
      <w:r w:rsidR="009C33E3">
        <w:t xml:space="preserve"> </w:t>
      </w:r>
      <w:r>
        <w:t>is (not)</w:t>
      </w:r>
      <w:proofErr w:type="gramEnd"/>
      <w:r>
        <w:t xml:space="preserve"> supported by </w:t>
      </w:r>
      <w:r w:rsidR="009C33E3">
        <w:t>stakeholder x y or z</w:t>
      </w:r>
      <w:r>
        <w:t>?</w:t>
      </w:r>
      <w:r w:rsidR="00F31970">
        <w:t xml:space="preserve"> </w:t>
      </w:r>
    </w:p>
    <w:p w14:paraId="2E6FC9A6" w14:textId="77777777" w:rsidR="009520E9" w:rsidRDefault="00BA6167" w:rsidP="009520E9">
      <w:pPr>
        <w:pStyle w:val="Heading1"/>
      </w:pPr>
      <w:r>
        <w:t>Part 4</w:t>
      </w:r>
      <w:r w:rsidR="009520E9">
        <w:t>: Re-planning</w:t>
      </w:r>
    </w:p>
    <w:p w14:paraId="1197AC31" w14:textId="77777777" w:rsidR="00F31970" w:rsidRDefault="00F31970" w:rsidP="00F31970">
      <w:pPr>
        <w:pStyle w:val="Heading2"/>
      </w:pPr>
    </w:p>
    <w:p w14:paraId="02B580D6" w14:textId="77777777" w:rsidR="00F31970" w:rsidRDefault="00F31970" w:rsidP="00F31970">
      <w:pPr>
        <w:pStyle w:val="Heading2"/>
      </w:pPr>
      <w:r>
        <w:t>Step 10: Discussion questions</w:t>
      </w:r>
    </w:p>
    <w:p w14:paraId="081C4B97" w14:textId="0AD5DF12" w:rsidR="00AB2367" w:rsidRDefault="00AB2367" w:rsidP="00F31970">
      <w:pPr>
        <w:pStyle w:val="ListParagraph"/>
        <w:numPr>
          <w:ilvl w:val="0"/>
          <w:numId w:val="21"/>
        </w:numPr>
      </w:pPr>
      <w:r>
        <w:t>What could be modification</w:t>
      </w:r>
      <w:r w:rsidR="000C2DC6">
        <w:t>(s)</w:t>
      </w:r>
      <w:r>
        <w:t xml:space="preserve"> of </w:t>
      </w:r>
      <w:proofErr w:type="gramStart"/>
      <w:r>
        <w:t>the option</w:t>
      </w:r>
      <w:proofErr w:type="gramEnd"/>
      <w:r>
        <w:t xml:space="preserve"> </w:t>
      </w:r>
      <w:r w:rsidR="009C33E3">
        <w:t>M</w:t>
      </w:r>
      <w:r>
        <w:t xml:space="preserve"> so that it may be more</w:t>
      </w:r>
      <w:r w:rsidR="000C2DC6">
        <w:t xml:space="preserve"> acceptable (less opposition) and feasible (better Ability)?</w:t>
      </w:r>
      <w:r w:rsidR="00F31970">
        <w:t xml:space="preserve"> Or,</w:t>
      </w:r>
    </w:p>
    <w:p w14:paraId="408C9C07" w14:textId="75C28A76" w:rsidR="00F31970" w:rsidRDefault="00F31970" w:rsidP="00F31970">
      <w:pPr>
        <w:pStyle w:val="ListParagraph"/>
        <w:numPr>
          <w:ilvl w:val="0"/>
          <w:numId w:val="21"/>
        </w:numPr>
      </w:pPr>
      <w:r>
        <w:t xml:space="preserve">What could be the new suggestion for option </w:t>
      </w:r>
      <w:r w:rsidR="009C33E3">
        <w:t>M</w:t>
      </w:r>
      <w:r>
        <w:t>?</w:t>
      </w:r>
    </w:p>
    <w:p w14:paraId="6D4A7D8A" w14:textId="2720E3ED" w:rsidR="009520E9" w:rsidRDefault="00F31970" w:rsidP="009520E9">
      <w:proofErr w:type="gramStart"/>
      <w:r>
        <w:t>Taking into account</w:t>
      </w:r>
      <w:proofErr w:type="gramEnd"/>
      <w:r>
        <w:t xml:space="preserve"> its own </w:t>
      </w:r>
      <w:proofErr w:type="gramStart"/>
      <w:r>
        <w:t>ability of implementation</w:t>
      </w:r>
      <w:proofErr w:type="gramEnd"/>
      <w:r>
        <w:t xml:space="preserve"> and other groups’ motivation, </w:t>
      </w:r>
      <w:proofErr w:type="spellStart"/>
      <w:r w:rsidR="009C33E3">
        <w:t>MoWE</w:t>
      </w:r>
      <w:proofErr w:type="spellEnd"/>
      <w:r w:rsidR="009C33E3">
        <w:t xml:space="preserve"> </w:t>
      </w:r>
      <w:r>
        <w:t xml:space="preserve">will </w:t>
      </w:r>
      <w:r w:rsidR="009520E9">
        <w:t>suggest some option packages</w:t>
      </w:r>
      <w:r>
        <w:t xml:space="preserve">. </w:t>
      </w:r>
      <w:r w:rsidR="009520E9">
        <w:t xml:space="preserve"> </w:t>
      </w:r>
    </w:p>
    <w:p w14:paraId="5DBF1336" w14:textId="77777777" w:rsidR="00F31970" w:rsidRDefault="00F31970" w:rsidP="00F31970">
      <w:pPr>
        <w:pStyle w:val="Heading2"/>
      </w:pPr>
    </w:p>
    <w:p w14:paraId="0650F708" w14:textId="026AC15F" w:rsidR="00F31970" w:rsidRDefault="00F31970" w:rsidP="00F31970">
      <w:pPr>
        <w:pStyle w:val="Heading2"/>
      </w:pPr>
      <w:r>
        <w:t xml:space="preserve">Step 11: MOTA mapping for the final option </w:t>
      </w:r>
      <w:r w:rsidR="009C33E3">
        <w:t>M</w:t>
      </w:r>
    </w:p>
    <w:p w14:paraId="6B219D69" w14:textId="2679B1F8" w:rsidR="00F31970" w:rsidRDefault="00F31970" w:rsidP="004C4F4C">
      <w:r>
        <w:t>The f</w:t>
      </w:r>
      <w:r w:rsidR="00BA6167">
        <w:t xml:space="preserve">inal suggestion of </w:t>
      </w:r>
      <w:proofErr w:type="gramStart"/>
      <w:r w:rsidR="00BA6167">
        <w:t xml:space="preserve">the </w:t>
      </w:r>
      <w:r w:rsidR="009C33E3">
        <w:t>option</w:t>
      </w:r>
      <w:proofErr w:type="gramEnd"/>
      <w:r w:rsidR="009C33E3">
        <w:t xml:space="preserve"> M</w:t>
      </w:r>
      <w:r>
        <w:t xml:space="preserve"> will be announced to the other groups to give their MOTA score</w:t>
      </w:r>
      <w:r w:rsidR="004C4F4C">
        <w:t>s</w:t>
      </w:r>
      <w:r>
        <w:t xml:space="preserve"> (e.g. steps 2 to 4)</w:t>
      </w:r>
      <w:r w:rsidR="004C4F4C">
        <w:t>. The consent is reached when there is no group in position of (</w:t>
      </w:r>
      <w:proofErr w:type="gramStart"/>
      <w:r w:rsidR="004C4F4C">
        <w:t>strong )</w:t>
      </w:r>
      <w:proofErr w:type="gramEnd"/>
      <w:r w:rsidR="004C4F4C">
        <w:t xml:space="preserve"> opposition. </w:t>
      </w:r>
    </w:p>
    <w:p w14:paraId="03A0A522" w14:textId="77777777" w:rsidR="004C4F4C" w:rsidRDefault="004C4F4C" w:rsidP="004C4F4C">
      <w:pPr>
        <w:pStyle w:val="Heading2"/>
      </w:pPr>
    </w:p>
    <w:p w14:paraId="44EBB0B0" w14:textId="77777777" w:rsidR="004C4F4C" w:rsidRDefault="004C4F4C" w:rsidP="004C4F4C">
      <w:pPr>
        <w:pStyle w:val="Heading2"/>
      </w:pPr>
      <w:r>
        <w:t xml:space="preserve">Step 12: To </w:t>
      </w:r>
      <w:proofErr w:type="spellStart"/>
      <w:r w:rsidR="00F60A0F">
        <w:t>analyse</w:t>
      </w:r>
      <w:proofErr w:type="spellEnd"/>
      <w:r>
        <w:t xml:space="preserve"> the package</w:t>
      </w:r>
    </w:p>
    <w:p w14:paraId="20E637A4" w14:textId="27889BE9" w:rsidR="00F235CE" w:rsidRDefault="004C4F4C" w:rsidP="004C4F4C">
      <w:r>
        <w:t>Feasibility</w:t>
      </w:r>
      <w:r w:rsidR="00F60A0F">
        <w:t xml:space="preserve"> </w:t>
      </w:r>
      <w:r>
        <w:t xml:space="preserve">of a plan </w:t>
      </w:r>
      <w:r w:rsidR="00F60A0F">
        <w:t xml:space="preserve">can be evaluated by F-I-T of the joint </w:t>
      </w:r>
      <w:proofErr w:type="spellStart"/>
      <w:r w:rsidR="009C33E3">
        <w:t>MoWE</w:t>
      </w:r>
      <w:proofErr w:type="spellEnd"/>
      <w:r w:rsidR="00F60A0F">
        <w:t xml:space="preserve"> and T. However, a feasible plan may not be always adaptable by the</w:t>
      </w:r>
      <w:r w:rsidR="009C33E3">
        <w:t xml:space="preserve"> farming</w:t>
      </w:r>
      <w:r w:rsidR="00F60A0F">
        <w:t xml:space="preserve"> community</w:t>
      </w:r>
      <w:r w:rsidR="00176296">
        <w:t xml:space="preserve">. Moreover, shortcomings in F- and T in the package could be amended by F-I-T of the B-group.  </w:t>
      </w:r>
      <w:proofErr w:type="gramStart"/>
      <w:r w:rsidR="00176296">
        <w:t>Therefore</w:t>
      </w:r>
      <w:proofErr w:type="gramEnd"/>
      <w:r w:rsidR="00176296">
        <w:t xml:space="preserve"> another indicator is suggested: Affordability, which is a combination of </w:t>
      </w:r>
      <w:r>
        <w:t>4 factors: F-I-S-T</w:t>
      </w:r>
      <w:r w:rsidR="00F235CE">
        <w:t>,</w:t>
      </w:r>
      <w:r>
        <w:t xml:space="preserve"> not only Financial- and </w:t>
      </w:r>
      <w:proofErr w:type="gramStart"/>
      <w:r>
        <w:t>Technical</w:t>
      </w:r>
      <w:proofErr w:type="gramEnd"/>
      <w:r w:rsidR="00F235CE">
        <w:t xml:space="preserve"> analysis (e.g. cost/ benefit</w:t>
      </w:r>
      <w:r>
        <w:t xml:space="preserve"> </w:t>
      </w:r>
      <w:r w:rsidR="00F235CE">
        <w:t xml:space="preserve">and/or multi-actor consent (e.g. MCA). </w:t>
      </w:r>
    </w:p>
    <w:p w14:paraId="3AF1510A" w14:textId="1D47396C" w:rsidR="00F235CE" w:rsidRDefault="00F235CE" w:rsidP="004C4F4C">
      <w:r w:rsidRPr="00176296">
        <w:rPr>
          <w:u w:val="single"/>
        </w:rPr>
        <w:t xml:space="preserve">The F-I-T of the B-group with respect to a planning option </w:t>
      </w:r>
      <w:r w:rsidR="00176296" w:rsidRPr="00176296">
        <w:rPr>
          <w:u w:val="single"/>
        </w:rPr>
        <w:t>reflects potential involvement of Private sector</w:t>
      </w:r>
      <w:r w:rsidR="00176296">
        <w:t xml:space="preserve"> and </w:t>
      </w:r>
      <w:r>
        <w:t>can be</w:t>
      </w:r>
      <w:r w:rsidR="00F60A0F">
        <w:t xml:space="preserve"> </w:t>
      </w:r>
      <w:r w:rsidR="00176296">
        <w:t>considered</w:t>
      </w:r>
      <w:r w:rsidR="00F60A0F">
        <w:t xml:space="preserve"> as an additional resource for </w:t>
      </w:r>
      <w:proofErr w:type="spellStart"/>
      <w:r w:rsidR="009C33E3">
        <w:t>MoWE</w:t>
      </w:r>
      <w:proofErr w:type="spellEnd"/>
      <w:r w:rsidR="00F60A0F">
        <w:t>.</w:t>
      </w:r>
    </w:p>
    <w:p w14:paraId="56BECAE4" w14:textId="77777777" w:rsidR="004C4F4C" w:rsidRDefault="00F235CE" w:rsidP="004C4F4C">
      <w:r w:rsidRPr="00176296">
        <w:rPr>
          <w:u w:val="single"/>
        </w:rPr>
        <w:t xml:space="preserve">The F-I-T of the C-group </w:t>
      </w:r>
      <w:r w:rsidR="00176296" w:rsidRPr="00176296">
        <w:rPr>
          <w:u w:val="single"/>
        </w:rPr>
        <w:t xml:space="preserve">may reveal the adaptability of the community to the change created by the plan and </w:t>
      </w:r>
      <w:r w:rsidR="00176296">
        <w:rPr>
          <w:u w:val="single"/>
        </w:rPr>
        <w:t>is</w:t>
      </w:r>
      <w:r w:rsidRPr="00176296">
        <w:rPr>
          <w:u w:val="single"/>
        </w:rPr>
        <w:t xml:space="preserve"> defined as </w:t>
      </w:r>
      <w:proofErr w:type="gramStart"/>
      <w:r w:rsidRPr="00176296">
        <w:rPr>
          <w:u w:val="single"/>
        </w:rPr>
        <w:t>Social</w:t>
      </w:r>
      <w:proofErr w:type="gramEnd"/>
      <w:r w:rsidRPr="00176296">
        <w:rPr>
          <w:u w:val="single"/>
        </w:rPr>
        <w:t xml:space="preserve"> a</w:t>
      </w:r>
      <w:r w:rsidR="00176296">
        <w:rPr>
          <w:u w:val="single"/>
        </w:rPr>
        <w:t>(</w:t>
      </w:r>
      <w:proofErr w:type="spellStart"/>
      <w:r w:rsidR="00176296">
        <w:rPr>
          <w:u w:val="single"/>
        </w:rPr>
        <w:t>dapt</w:t>
      </w:r>
      <w:proofErr w:type="spellEnd"/>
      <w:r w:rsidR="00176296">
        <w:rPr>
          <w:u w:val="single"/>
        </w:rPr>
        <w:t>)</w:t>
      </w:r>
      <w:proofErr w:type="spellStart"/>
      <w:r w:rsidRPr="00176296">
        <w:rPr>
          <w:u w:val="single"/>
        </w:rPr>
        <w:t>bility</w:t>
      </w:r>
      <w:proofErr w:type="spellEnd"/>
      <w:r w:rsidR="00176296" w:rsidRPr="00176296">
        <w:t>. Social ability</w:t>
      </w:r>
      <w:r w:rsidR="00F60A0F">
        <w:t xml:space="preserve"> can be used as an indicator for the potential benefit of the project. If </w:t>
      </w:r>
      <w:r w:rsidR="00176296">
        <w:t xml:space="preserve">Social </w:t>
      </w:r>
      <w:r w:rsidR="00F60A0F">
        <w:t xml:space="preserve">Adaptability is not 100%, changes made by the project may leave </w:t>
      </w:r>
      <w:r w:rsidR="00176296">
        <w:t xml:space="preserve">some target population </w:t>
      </w:r>
      <w:r w:rsidR="00F60A0F">
        <w:t xml:space="preserve">behind, </w:t>
      </w:r>
      <w:proofErr w:type="gramStart"/>
      <w:r w:rsidR="00F60A0F">
        <w:t>resulted</w:t>
      </w:r>
      <w:proofErr w:type="gramEnd"/>
      <w:r w:rsidR="00F60A0F">
        <w:t xml:space="preserve"> in socio-economical gaps and potential social disturbances.</w:t>
      </w:r>
      <w:r>
        <w:t xml:space="preserve"> </w:t>
      </w:r>
    </w:p>
    <w:p w14:paraId="707A79FF" w14:textId="77777777" w:rsidR="00966C25" w:rsidRPr="004C4F4C" w:rsidRDefault="00966C25" w:rsidP="00966C25">
      <w:pPr>
        <w:jc w:val="center"/>
      </w:pPr>
      <w:r w:rsidRPr="00966C25">
        <w:rPr>
          <w:noProof/>
        </w:rPr>
        <w:lastRenderedPageBreak/>
        <w:drawing>
          <wp:inline distT="0" distB="0" distL="0" distR="0" wp14:anchorId="030CB4F6" wp14:editId="1986E842">
            <wp:extent cx="4572000" cy="2743200"/>
            <wp:effectExtent l="0" t="0" r="0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5A71E6E" w14:textId="77777777" w:rsidR="004C4F4C" w:rsidRDefault="004C4F4C" w:rsidP="004C4F4C">
      <w:pPr>
        <w:jc w:val="center"/>
      </w:pPr>
      <w:r w:rsidRPr="004C4F4C">
        <w:rPr>
          <w:noProof/>
        </w:rPr>
        <w:drawing>
          <wp:inline distT="0" distB="0" distL="0" distR="0" wp14:anchorId="6788E9DE" wp14:editId="0A80DBD8">
            <wp:extent cx="4572000" cy="3057525"/>
            <wp:effectExtent l="0" t="0" r="0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7471FEE" w14:textId="77777777" w:rsidR="00AB2367" w:rsidRPr="00C930B9" w:rsidRDefault="00966C25" w:rsidP="00966C25">
      <w:r>
        <w:t>From the two graphs above, shortcomings of component(s) in the optional package (e.g. FIST features) could be improved appropriately.</w:t>
      </w:r>
    </w:p>
    <w:sectPr w:rsidR="00AB2367" w:rsidRPr="00C930B9" w:rsidSect="006E3BF7">
      <w:headerReference w:type="default" r:id="rId12"/>
      <w:footerReference w:type="defaul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47E6" w14:textId="77777777" w:rsidR="0028708D" w:rsidRDefault="0028708D" w:rsidP="000C2B82">
      <w:pPr>
        <w:spacing w:before="0"/>
      </w:pPr>
      <w:r>
        <w:separator/>
      </w:r>
    </w:p>
  </w:endnote>
  <w:endnote w:type="continuationSeparator" w:id="0">
    <w:p w14:paraId="604BF9F8" w14:textId="77777777" w:rsidR="0028708D" w:rsidRDefault="0028708D" w:rsidP="000C2B8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923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AB98EF" w14:textId="77777777" w:rsidR="004C4F4C" w:rsidRDefault="000017E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1621">
          <w:rPr>
            <w:noProof/>
          </w:rPr>
          <w:t>3</w:t>
        </w:r>
        <w:r>
          <w:rPr>
            <w:noProof/>
          </w:rPr>
          <w:fldChar w:fldCharType="end"/>
        </w:r>
        <w:r w:rsidR="004C4F4C">
          <w:t xml:space="preserve"> | </w:t>
        </w:r>
        <w:r w:rsidR="004C4F4C">
          <w:rPr>
            <w:color w:val="7F7F7F" w:themeColor="background1" w:themeShade="7F"/>
            <w:spacing w:val="60"/>
          </w:rPr>
          <w:t>Page</w:t>
        </w:r>
      </w:p>
    </w:sdtContent>
  </w:sdt>
  <w:p w14:paraId="1016FE17" w14:textId="77777777" w:rsidR="004C4F4C" w:rsidRDefault="004C4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2547" w14:textId="77777777" w:rsidR="0028708D" w:rsidRDefault="0028708D" w:rsidP="000C2B82">
      <w:pPr>
        <w:spacing w:before="0"/>
      </w:pPr>
      <w:r>
        <w:separator/>
      </w:r>
    </w:p>
  </w:footnote>
  <w:footnote w:type="continuationSeparator" w:id="0">
    <w:p w14:paraId="3D882AFA" w14:textId="77777777" w:rsidR="0028708D" w:rsidRDefault="0028708D" w:rsidP="000C2B8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DF42" w14:textId="77777777" w:rsidR="004C4F4C" w:rsidRDefault="007716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ED2323" wp14:editId="0C69AAB1">
              <wp:simplePos x="0" y="0"/>
              <wp:positionH relativeFrom="column">
                <wp:posOffset>4219575</wp:posOffset>
              </wp:positionH>
              <wp:positionV relativeFrom="paragraph">
                <wp:posOffset>-47625</wp:posOffset>
              </wp:positionV>
              <wp:extent cx="1543050" cy="409575"/>
              <wp:effectExtent l="9525" t="9525" r="9525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22A73" w14:textId="2E135E23" w:rsidR="009C33E3" w:rsidRDefault="009C33E3" w:rsidP="000C2B82">
                          <w:pPr>
                            <w:spacing w:before="120"/>
                          </w:pPr>
                          <w:r>
                            <w:t>Basin</w:t>
                          </w:r>
                          <w:r w:rsidR="004C4F4C"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ED23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32.25pt;margin-top:-3.75pt;width:121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">
              <v:textbox>
                <w:txbxContent>
                  <w:p w14:paraId="60B22A73" w14:textId="2E135E23" w:rsidR="009C33E3" w:rsidRDefault="009C33E3" w:rsidP="000C2B82">
                    <w:pPr>
                      <w:spacing w:before="120"/>
                    </w:pPr>
                    <w:r>
                      <w:t>Basin</w:t>
                    </w:r>
                    <w:r w:rsidR="004C4F4C">
                      <w:t>: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A75"/>
    <w:multiLevelType w:val="hybridMultilevel"/>
    <w:tmpl w:val="4A6C6142"/>
    <w:lvl w:ilvl="0" w:tplc="932EB05C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4CE7D3D"/>
    <w:multiLevelType w:val="hybridMultilevel"/>
    <w:tmpl w:val="2ACE6930"/>
    <w:lvl w:ilvl="0" w:tplc="86F26962">
      <w:start w:val="1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616D"/>
    <w:multiLevelType w:val="hybridMultilevel"/>
    <w:tmpl w:val="8CF8698E"/>
    <w:lvl w:ilvl="0" w:tplc="66A2CA54">
      <w:start w:val="1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4F0C"/>
    <w:multiLevelType w:val="hybridMultilevel"/>
    <w:tmpl w:val="AF76E222"/>
    <w:lvl w:ilvl="0" w:tplc="6D96A5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82822"/>
    <w:multiLevelType w:val="hybridMultilevel"/>
    <w:tmpl w:val="FEA6C59A"/>
    <w:lvl w:ilvl="0" w:tplc="D120592A">
      <w:start w:val="12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17A11E2A"/>
    <w:multiLevelType w:val="hybridMultilevel"/>
    <w:tmpl w:val="B13A9FE8"/>
    <w:lvl w:ilvl="0" w:tplc="14F2FAA2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22BC34BA"/>
    <w:multiLevelType w:val="hybridMultilevel"/>
    <w:tmpl w:val="0DF23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24FFB"/>
    <w:multiLevelType w:val="hybridMultilevel"/>
    <w:tmpl w:val="FEA6C59A"/>
    <w:lvl w:ilvl="0" w:tplc="D120592A">
      <w:start w:val="12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3B394A53"/>
    <w:multiLevelType w:val="hybridMultilevel"/>
    <w:tmpl w:val="FEA6C59A"/>
    <w:lvl w:ilvl="0" w:tplc="D120592A">
      <w:start w:val="12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3F612CC0"/>
    <w:multiLevelType w:val="hybridMultilevel"/>
    <w:tmpl w:val="FEA6C59A"/>
    <w:lvl w:ilvl="0" w:tplc="D120592A">
      <w:start w:val="12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44EE23A2"/>
    <w:multiLevelType w:val="hybridMultilevel"/>
    <w:tmpl w:val="2FAEA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70EC2"/>
    <w:multiLevelType w:val="hybridMultilevel"/>
    <w:tmpl w:val="1C30A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61D58"/>
    <w:multiLevelType w:val="hybridMultilevel"/>
    <w:tmpl w:val="83443F16"/>
    <w:lvl w:ilvl="0" w:tplc="1CBCD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30DDA"/>
    <w:multiLevelType w:val="hybridMultilevel"/>
    <w:tmpl w:val="F174AD1E"/>
    <w:lvl w:ilvl="0" w:tplc="F37A4E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312DA"/>
    <w:multiLevelType w:val="hybridMultilevel"/>
    <w:tmpl w:val="8B92E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96B0A"/>
    <w:multiLevelType w:val="hybridMultilevel"/>
    <w:tmpl w:val="B936D67C"/>
    <w:lvl w:ilvl="0" w:tplc="ADA62D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95456"/>
    <w:multiLevelType w:val="hybridMultilevel"/>
    <w:tmpl w:val="FEA6C59A"/>
    <w:lvl w:ilvl="0" w:tplc="D120592A">
      <w:start w:val="12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5EB21FD5"/>
    <w:multiLevelType w:val="hybridMultilevel"/>
    <w:tmpl w:val="AAA869AA"/>
    <w:lvl w:ilvl="0" w:tplc="B220E996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 w15:restartNumberingAfterBreak="0">
    <w:nsid w:val="63E21CC3"/>
    <w:multiLevelType w:val="hybridMultilevel"/>
    <w:tmpl w:val="79063E5E"/>
    <w:lvl w:ilvl="0" w:tplc="89DADC9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4175C"/>
    <w:multiLevelType w:val="hybridMultilevel"/>
    <w:tmpl w:val="F9083EDE"/>
    <w:lvl w:ilvl="0" w:tplc="84C292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F1229"/>
    <w:multiLevelType w:val="hybridMultilevel"/>
    <w:tmpl w:val="1F24F9B6"/>
    <w:lvl w:ilvl="0" w:tplc="61882C04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705D5EC8"/>
    <w:multiLevelType w:val="hybridMultilevel"/>
    <w:tmpl w:val="CB088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42588">
    <w:abstractNumId w:val="20"/>
  </w:num>
  <w:num w:numId="2" w16cid:durableId="619410627">
    <w:abstractNumId w:val="5"/>
  </w:num>
  <w:num w:numId="3" w16cid:durableId="913514327">
    <w:abstractNumId w:val="17"/>
  </w:num>
  <w:num w:numId="4" w16cid:durableId="175924392">
    <w:abstractNumId w:val="0"/>
  </w:num>
  <w:num w:numId="5" w16cid:durableId="460617751">
    <w:abstractNumId w:val="1"/>
  </w:num>
  <w:num w:numId="6" w16cid:durableId="918246038">
    <w:abstractNumId w:val="16"/>
  </w:num>
  <w:num w:numId="7" w16cid:durableId="320427884">
    <w:abstractNumId w:val="2"/>
  </w:num>
  <w:num w:numId="8" w16cid:durableId="1780946634">
    <w:abstractNumId w:val="12"/>
  </w:num>
  <w:num w:numId="9" w16cid:durableId="981152129">
    <w:abstractNumId w:val="7"/>
  </w:num>
  <w:num w:numId="10" w16cid:durableId="1130824382">
    <w:abstractNumId w:val="9"/>
  </w:num>
  <w:num w:numId="11" w16cid:durableId="1004014441">
    <w:abstractNumId w:val="4"/>
  </w:num>
  <w:num w:numId="12" w16cid:durableId="482936538">
    <w:abstractNumId w:val="13"/>
  </w:num>
  <w:num w:numId="13" w16cid:durableId="1630477884">
    <w:abstractNumId w:val="18"/>
  </w:num>
  <w:num w:numId="14" w16cid:durableId="13070546">
    <w:abstractNumId w:val="15"/>
  </w:num>
  <w:num w:numId="15" w16cid:durableId="487938007">
    <w:abstractNumId w:val="8"/>
  </w:num>
  <w:num w:numId="16" w16cid:durableId="983242102">
    <w:abstractNumId w:val="21"/>
  </w:num>
  <w:num w:numId="17" w16cid:durableId="1848327386">
    <w:abstractNumId w:val="3"/>
  </w:num>
  <w:num w:numId="18" w16cid:durableId="946739475">
    <w:abstractNumId w:val="11"/>
  </w:num>
  <w:num w:numId="19" w16cid:durableId="433134076">
    <w:abstractNumId w:val="10"/>
  </w:num>
  <w:num w:numId="20" w16cid:durableId="525825267">
    <w:abstractNumId w:val="14"/>
  </w:num>
  <w:num w:numId="21" w16cid:durableId="765687518">
    <w:abstractNumId w:val="6"/>
  </w:num>
  <w:num w:numId="22" w16cid:durableId="1211194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82"/>
    <w:rsid w:val="00001115"/>
    <w:rsid w:val="000017E1"/>
    <w:rsid w:val="000034EC"/>
    <w:rsid w:val="00005D79"/>
    <w:rsid w:val="0002066F"/>
    <w:rsid w:val="0002183A"/>
    <w:rsid w:val="000235F2"/>
    <w:rsid w:val="00032AA6"/>
    <w:rsid w:val="00041D97"/>
    <w:rsid w:val="00052544"/>
    <w:rsid w:val="0005710C"/>
    <w:rsid w:val="00063B76"/>
    <w:rsid w:val="00072EBF"/>
    <w:rsid w:val="000748ED"/>
    <w:rsid w:val="000949C4"/>
    <w:rsid w:val="000979CB"/>
    <w:rsid w:val="000A5FB3"/>
    <w:rsid w:val="000A61D8"/>
    <w:rsid w:val="000A68BC"/>
    <w:rsid w:val="000A7D3D"/>
    <w:rsid w:val="000B0550"/>
    <w:rsid w:val="000B2D07"/>
    <w:rsid w:val="000B2E5D"/>
    <w:rsid w:val="000B6FAB"/>
    <w:rsid w:val="000C2B82"/>
    <w:rsid w:val="000C2DC6"/>
    <w:rsid w:val="000C3175"/>
    <w:rsid w:val="000C78DF"/>
    <w:rsid w:val="000C7FB2"/>
    <w:rsid w:val="000D01F0"/>
    <w:rsid w:val="000D06C9"/>
    <w:rsid w:val="000D3270"/>
    <w:rsid w:val="000E06CF"/>
    <w:rsid w:val="000E69FA"/>
    <w:rsid w:val="000E7E6B"/>
    <w:rsid w:val="000F50E8"/>
    <w:rsid w:val="00103640"/>
    <w:rsid w:val="00106207"/>
    <w:rsid w:val="00106AD5"/>
    <w:rsid w:val="001071DE"/>
    <w:rsid w:val="00120B57"/>
    <w:rsid w:val="00122C1A"/>
    <w:rsid w:val="001233F0"/>
    <w:rsid w:val="00124FBD"/>
    <w:rsid w:val="0012514B"/>
    <w:rsid w:val="001253BC"/>
    <w:rsid w:val="001261A9"/>
    <w:rsid w:val="001361FA"/>
    <w:rsid w:val="001409FB"/>
    <w:rsid w:val="00143F78"/>
    <w:rsid w:val="001556CD"/>
    <w:rsid w:val="00155EF2"/>
    <w:rsid w:val="001563CC"/>
    <w:rsid w:val="00162EE0"/>
    <w:rsid w:val="00165F20"/>
    <w:rsid w:val="00176296"/>
    <w:rsid w:val="00185809"/>
    <w:rsid w:val="0019025C"/>
    <w:rsid w:val="00192BE0"/>
    <w:rsid w:val="00196BFB"/>
    <w:rsid w:val="001A06B9"/>
    <w:rsid w:val="001A335A"/>
    <w:rsid w:val="001A6F4B"/>
    <w:rsid w:val="001A799E"/>
    <w:rsid w:val="001B4DC9"/>
    <w:rsid w:val="001B6DE8"/>
    <w:rsid w:val="001C2CC6"/>
    <w:rsid w:val="001C5F69"/>
    <w:rsid w:val="001D0EF3"/>
    <w:rsid w:val="001D2772"/>
    <w:rsid w:val="001E7598"/>
    <w:rsid w:val="001F0160"/>
    <w:rsid w:val="001F07B0"/>
    <w:rsid w:val="001F3523"/>
    <w:rsid w:val="001F4E0C"/>
    <w:rsid w:val="00210968"/>
    <w:rsid w:val="00215B44"/>
    <w:rsid w:val="00220314"/>
    <w:rsid w:val="00221AAD"/>
    <w:rsid w:val="002222A6"/>
    <w:rsid w:val="00222EEE"/>
    <w:rsid w:val="00222F5A"/>
    <w:rsid w:val="0024506B"/>
    <w:rsid w:val="00251D46"/>
    <w:rsid w:val="00253DEC"/>
    <w:rsid w:val="002544E4"/>
    <w:rsid w:val="002550CD"/>
    <w:rsid w:val="00257E8B"/>
    <w:rsid w:val="0026070B"/>
    <w:rsid w:val="0026179C"/>
    <w:rsid w:val="00261E2C"/>
    <w:rsid w:val="002652E8"/>
    <w:rsid w:val="00275506"/>
    <w:rsid w:val="0028069C"/>
    <w:rsid w:val="0028594F"/>
    <w:rsid w:val="0028708D"/>
    <w:rsid w:val="002941E0"/>
    <w:rsid w:val="00296913"/>
    <w:rsid w:val="002A3D65"/>
    <w:rsid w:val="002B065C"/>
    <w:rsid w:val="002C2AE3"/>
    <w:rsid w:val="002C758F"/>
    <w:rsid w:val="002D2917"/>
    <w:rsid w:val="002E1524"/>
    <w:rsid w:val="002E49F5"/>
    <w:rsid w:val="002E6599"/>
    <w:rsid w:val="002F4EF9"/>
    <w:rsid w:val="002F5E42"/>
    <w:rsid w:val="003058AF"/>
    <w:rsid w:val="00305C21"/>
    <w:rsid w:val="00315911"/>
    <w:rsid w:val="00325E05"/>
    <w:rsid w:val="00326C50"/>
    <w:rsid w:val="00336018"/>
    <w:rsid w:val="00355AAB"/>
    <w:rsid w:val="00362725"/>
    <w:rsid w:val="0036477D"/>
    <w:rsid w:val="0037014D"/>
    <w:rsid w:val="003703D8"/>
    <w:rsid w:val="00372BAD"/>
    <w:rsid w:val="00377135"/>
    <w:rsid w:val="0038739C"/>
    <w:rsid w:val="003876E5"/>
    <w:rsid w:val="00387876"/>
    <w:rsid w:val="003900F1"/>
    <w:rsid w:val="00396424"/>
    <w:rsid w:val="003A05FB"/>
    <w:rsid w:val="003A43AF"/>
    <w:rsid w:val="003B1287"/>
    <w:rsid w:val="003B1974"/>
    <w:rsid w:val="003C0149"/>
    <w:rsid w:val="003C5038"/>
    <w:rsid w:val="003C6E12"/>
    <w:rsid w:val="003D0FA2"/>
    <w:rsid w:val="003D7C75"/>
    <w:rsid w:val="003F013E"/>
    <w:rsid w:val="003F34AB"/>
    <w:rsid w:val="003F6CBE"/>
    <w:rsid w:val="00404915"/>
    <w:rsid w:val="00413443"/>
    <w:rsid w:val="00421AA1"/>
    <w:rsid w:val="00431D6A"/>
    <w:rsid w:val="004322E2"/>
    <w:rsid w:val="0043364B"/>
    <w:rsid w:val="00437B0E"/>
    <w:rsid w:val="00437C27"/>
    <w:rsid w:val="004436B4"/>
    <w:rsid w:val="00444D87"/>
    <w:rsid w:val="00445EE0"/>
    <w:rsid w:val="00451ADB"/>
    <w:rsid w:val="00454EA5"/>
    <w:rsid w:val="0045566D"/>
    <w:rsid w:val="004635B4"/>
    <w:rsid w:val="00467D53"/>
    <w:rsid w:val="00473451"/>
    <w:rsid w:val="00483DE9"/>
    <w:rsid w:val="00484F76"/>
    <w:rsid w:val="004910AC"/>
    <w:rsid w:val="00491A48"/>
    <w:rsid w:val="004A13E1"/>
    <w:rsid w:val="004A695A"/>
    <w:rsid w:val="004B0603"/>
    <w:rsid w:val="004C4897"/>
    <w:rsid w:val="004C4F4C"/>
    <w:rsid w:val="004D6B1C"/>
    <w:rsid w:val="004D6E19"/>
    <w:rsid w:val="004D6F07"/>
    <w:rsid w:val="004E075A"/>
    <w:rsid w:val="004E2E35"/>
    <w:rsid w:val="004E5FD0"/>
    <w:rsid w:val="004F2E56"/>
    <w:rsid w:val="004F591E"/>
    <w:rsid w:val="00501D22"/>
    <w:rsid w:val="005047C0"/>
    <w:rsid w:val="00507BC6"/>
    <w:rsid w:val="005100B2"/>
    <w:rsid w:val="00510290"/>
    <w:rsid w:val="0051101E"/>
    <w:rsid w:val="00515781"/>
    <w:rsid w:val="00515C02"/>
    <w:rsid w:val="00515C06"/>
    <w:rsid w:val="005239EC"/>
    <w:rsid w:val="00524E4A"/>
    <w:rsid w:val="00525013"/>
    <w:rsid w:val="005341BF"/>
    <w:rsid w:val="0053503B"/>
    <w:rsid w:val="00542140"/>
    <w:rsid w:val="00546D69"/>
    <w:rsid w:val="00552ACC"/>
    <w:rsid w:val="005558F4"/>
    <w:rsid w:val="005632D8"/>
    <w:rsid w:val="00565F49"/>
    <w:rsid w:val="00566E6D"/>
    <w:rsid w:val="00570D60"/>
    <w:rsid w:val="00577350"/>
    <w:rsid w:val="00580898"/>
    <w:rsid w:val="005835CE"/>
    <w:rsid w:val="00591EDB"/>
    <w:rsid w:val="0059687C"/>
    <w:rsid w:val="005978DC"/>
    <w:rsid w:val="005A40A5"/>
    <w:rsid w:val="005A42EF"/>
    <w:rsid w:val="005B0D6D"/>
    <w:rsid w:val="005B3C86"/>
    <w:rsid w:val="005C71F0"/>
    <w:rsid w:val="005D7751"/>
    <w:rsid w:val="005E44C5"/>
    <w:rsid w:val="005E6E5C"/>
    <w:rsid w:val="005F57F6"/>
    <w:rsid w:val="00601026"/>
    <w:rsid w:val="006128F9"/>
    <w:rsid w:val="00612AD0"/>
    <w:rsid w:val="00616980"/>
    <w:rsid w:val="0061761D"/>
    <w:rsid w:val="00622BE4"/>
    <w:rsid w:val="00627B20"/>
    <w:rsid w:val="00637FF7"/>
    <w:rsid w:val="006409E9"/>
    <w:rsid w:val="006427E2"/>
    <w:rsid w:val="00642A47"/>
    <w:rsid w:val="0064300E"/>
    <w:rsid w:val="0064740D"/>
    <w:rsid w:val="0065557A"/>
    <w:rsid w:val="00655652"/>
    <w:rsid w:val="00655B7F"/>
    <w:rsid w:val="00657243"/>
    <w:rsid w:val="00665A65"/>
    <w:rsid w:val="00666C91"/>
    <w:rsid w:val="0067231E"/>
    <w:rsid w:val="00674E9C"/>
    <w:rsid w:val="0067504B"/>
    <w:rsid w:val="00682889"/>
    <w:rsid w:val="00683BC9"/>
    <w:rsid w:val="0068695D"/>
    <w:rsid w:val="006959FE"/>
    <w:rsid w:val="00697574"/>
    <w:rsid w:val="006B4B45"/>
    <w:rsid w:val="006C146E"/>
    <w:rsid w:val="006D019C"/>
    <w:rsid w:val="006D1D5F"/>
    <w:rsid w:val="006D5219"/>
    <w:rsid w:val="006D7A56"/>
    <w:rsid w:val="006E0975"/>
    <w:rsid w:val="006E21B7"/>
    <w:rsid w:val="006E325C"/>
    <w:rsid w:val="006E3BF7"/>
    <w:rsid w:val="006E47BD"/>
    <w:rsid w:val="006F0319"/>
    <w:rsid w:val="006F15E6"/>
    <w:rsid w:val="006F291E"/>
    <w:rsid w:val="006F57FB"/>
    <w:rsid w:val="007004DB"/>
    <w:rsid w:val="00710E1D"/>
    <w:rsid w:val="0071479A"/>
    <w:rsid w:val="00715927"/>
    <w:rsid w:val="007322D9"/>
    <w:rsid w:val="00741724"/>
    <w:rsid w:val="00746DF0"/>
    <w:rsid w:val="00747BC2"/>
    <w:rsid w:val="00752F66"/>
    <w:rsid w:val="007535AA"/>
    <w:rsid w:val="007538E5"/>
    <w:rsid w:val="00756200"/>
    <w:rsid w:val="00757EE8"/>
    <w:rsid w:val="00763260"/>
    <w:rsid w:val="00763C06"/>
    <w:rsid w:val="00766EA1"/>
    <w:rsid w:val="00767EC1"/>
    <w:rsid w:val="00771621"/>
    <w:rsid w:val="00772180"/>
    <w:rsid w:val="00775F0B"/>
    <w:rsid w:val="007763CF"/>
    <w:rsid w:val="00776FFE"/>
    <w:rsid w:val="007810E5"/>
    <w:rsid w:val="00783DF9"/>
    <w:rsid w:val="00792DCE"/>
    <w:rsid w:val="00794C2F"/>
    <w:rsid w:val="00796882"/>
    <w:rsid w:val="007A20A1"/>
    <w:rsid w:val="007A2106"/>
    <w:rsid w:val="007A3F5C"/>
    <w:rsid w:val="007A46F7"/>
    <w:rsid w:val="007A4D9B"/>
    <w:rsid w:val="007A4FA3"/>
    <w:rsid w:val="007A79CF"/>
    <w:rsid w:val="007B4977"/>
    <w:rsid w:val="007B4DFD"/>
    <w:rsid w:val="007B52EB"/>
    <w:rsid w:val="007B755B"/>
    <w:rsid w:val="007C1861"/>
    <w:rsid w:val="007E092D"/>
    <w:rsid w:val="007E3DC4"/>
    <w:rsid w:val="007E51D8"/>
    <w:rsid w:val="007E5EE6"/>
    <w:rsid w:val="007F0A61"/>
    <w:rsid w:val="007F25AA"/>
    <w:rsid w:val="007F4C32"/>
    <w:rsid w:val="007F5B71"/>
    <w:rsid w:val="007F632A"/>
    <w:rsid w:val="00801AD6"/>
    <w:rsid w:val="008020A9"/>
    <w:rsid w:val="00805A67"/>
    <w:rsid w:val="0081249A"/>
    <w:rsid w:val="00812C09"/>
    <w:rsid w:val="008158FA"/>
    <w:rsid w:val="00816A4C"/>
    <w:rsid w:val="00830565"/>
    <w:rsid w:val="00833181"/>
    <w:rsid w:val="0083425D"/>
    <w:rsid w:val="00834882"/>
    <w:rsid w:val="0083516E"/>
    <w:rsid w:val="008371D1"/>
    <w:rsid w:val="0084195D"/>
    <w:rsid w:val="00843586"/>
    <w:rsid w:val="00844414"/>
    <w:rsid w:val="008546DE"/>
    <w:rsid w:val="00854E29"/>
    <w:rsid w:val="008620D3"/>
    <w:rsid w:val="008622A8"/>
    <w:rsid w:val="00864844"/>
    <w:rsid w:val="0086619B"/>
    <w:rsid w:val="008678BE"/>
    <w:rsid w:val="00873862"/>
    <w:rsid w:val="0087499C"/>
    <w:rsid w:val="008802F4"/>
    <w:rsid w:val="0088207D"/>
    <w:rsid w:val="0088581D"/>
    <w:rsid w:val="00887804"/>
    <w:rsid w:val="0089031D"/>
    <w:rsid w:val="00894909"/>
    <w:rsid w:val="00896511"/>
    <w:rsid w:val="008A2CEF"/>
    <w:rsid w:val="008A5456"/>
    <w:rsid w:val="008B5F07"/>
    <w:rsid w:val="008C7C22"/>
    <w:rsid w:val="008D5371"/>
    <w:rsid w:val="008F188F"/>
    <w:rsid w:val="008F1B92"/>
    <w:rsid w:val="008F7F5B"/>
    <w:rsid w:val="009011D3"/>
    <w:rsid w:val="00902FED"/>
    <w:rsid w:val="00903808"/>
    <w:rsid w:val="00903AA5"/>
    <w:rsid w:val="0090796A"/>
    <w:rsid w:val="00912672"/>
    <w:rsid w:val="00912F33"/>
    <w:rsid w:val="009153C6"/>
    <w:rsid w:val="00925558"/>
    <w:rsid w:val="00927EF8"/>
    <w:rsid w:val="00946066"/>
    <w:rsid w:val="00947088"/>
    <w:rsid w:val="009513CC"/>
    <w:rsid w:val="009520E9"/>
    <w:rsid w:val="00960500"/>
    <w:rsid w:val="00966C25"/>
    <w:rsid w:val="00967FCD"/>
    <w:rsid w:val="009707CD"/>
    <w:rsid w:val="009722D6"/>
    <w:rsid w:val="009745ED"/>
    <w:rsid w:val="00974702"/>
    <w:rsid w:val="0097637D"/>
    <w:rsid w:val="009770F1"/>
    <w:rsid w:val="0097714C"/>
    <w:rsid w:val="0098104E"/>
    <w:rsid w:val="00981A6F"/>
    <w:rsid w:val="00983BE1"/>
    <w:rsid w:val="00984696"/>
    <w:rsid w:val="00986D8B"/>
    <w:rsid w:val="00987A24"/>
    <w:rsid w:val="009A1984"/>
    <w:rsid w:val="009A43BD"/>
    <w:rsid w:val="009A51C1"/>
    <w:rsid w:val="009B5F80"/>
    <w:rsid w:val="009C03E5"/>
    <w:rsid w:val="009C3163"/>
    <w:rsid w:val="009C33E3"/>
    <w:rsid w:val="009D2BA6"/>
    <w:rsid w:val="009E11EB"/>
    <w:rsid w:val="009E2F69"/>
    <w:rsid w:val="009F00BE"/>
    <w:rsid w:val="009F25E7"/>
    <w:rsid w:val="00A00B22"/>
    <w:rsid w:val="00A023E4"/>
    <w:rsid w:val="00A07B02"/>
    <w:rsid w:val="00A12A8C"/>
    <w:rsid w:val="00A13C5E"/>
    <w:rsid w:val="00A21F51"/>
    <w:rsid w:val="00A2442C"/>
    <w:rsid w:val="00A2636D"/>
    <w:rsid w:val="00A27C85"/>
    <w:rsid w:val="00A34D4F"/>
    <w:rsid w:val="00A41034"/>
    <w:rsid w:val="00A42200"/>
    <w:rsid w:val="00A54A06"/>
    <w:rsid w:val="00A57E20"/>
    <w:rsid w:val="00A665FF"/>
    <w:rsid w:val="00A722FD"/>
    <w:rsid w:val="00A822C3"/>
    <w:rsid w:val="00A82875"/>
    <w:rsid w:val="00A94CFC"/>
    <w:rsid w:val="00AA16E5"/>
    <w:rsid w:val="00AA6189"/>
    <w:rsid w:val="00AB2367"/>
    <w:rsid w:val="00AB7F5B"/>
    <w:rsid w:val="00AC0680"/>
    <w:rsid w:val="00AC326D"/>
    <w:rsid w:val="00AD753D"/>
    <w:rsid w:val="00AE3824"/>
    <w:rsid w:val="00AE3CC9"/>
    <w:rsid w:val="00AF13C4"/>
    <w:rsid w:val="00AF79D8"/>
    <w:rsid w:val="00B018C3"/>
    <w:rsid w:val="00B06602"/>
    <w:rsid w:val="00B14C8F"/>
    <w:rsid w:val="00B175D8"/>
    <w:rsid w:val="00B20D6F"/>
    <w:rsid w:val="00B20DA0"/>
    <w:rsid w:val="00B22D31"/>
    <w:rsid w:val="00B325E5"/>
    <w:rsid w:val="00B32EC7"/>
    <w:rsid w:val="00B33712"/>
    <w:rsid w:val="00B362DD"/>
    <w:rsid w:val="00B405F2"/>
    <w:rsid w:val="00B51ABD"/>
    <w:rsid w:val="00B60CB2"/>
    <w:rsid w:val="00B66C39"/>
    <w:rsid w:val="00B67F09"/>
    <w:rsid w:val="00B71419"/>
    <w:rsid w:val="00B8012E"/>
    <w:rsid w:val="00B84199"/>
    <w:rsid w:val="00B8666E"/>
    <w:rsid w:val="00B90211"/>
    <w:rsid w:val="00B91F2F"/>
    <w:rsid w:val="00B93ED6"/>
    <w:rsid w:val="00B9775B"/>
    <w:rsid w:val="00BA5E7F"/>
    <w:rsid w:val="00BA6167"/>
    <w:rsid w:val="00BB0BC2"/>
    <w:rsid w:val="00BC2ED9"/>
    <w:rsid w:val="00BC62A7"/>
    <w:rsid w:val="00BD6311"/>
    <w:rsid w:val="00BE1499"/>
    <w:rsid w:val="00BE3852"/>
    <w:rsid w:val="00BF1043"/>
    <w:rsid w:val="00BF2ACA"/>
    <w:rsid w:val="00BF5B7F"/>
    <w:rsid w:val="00C0772E"/>
    <w:rsid w:val="00C2410B"/>
    <w:rsid w:val="00C26F0A"/>
    <w:rsid w:val="00C30EB3"/>
    <w:rsid w:val="00C3463A"/>
    <w:rsid w:val="00C3675C"/>
    <w:rsid w:val="00C36A1D"/>
    <w:rsid w:val="00C416E6"/>
    <w:rsid w:val="00C45E0D"/>
    <w:rsid w:val="00C509EB"/>
    <w:rsid w:val="00C52374"/>
    <w:rsid w:val="00C53C86"/>
    <w:rsid w:val="00C5619E"/>
    <w:rsid w:val="00C67117"/>
    <w:rsid w:val="00C773B6"/>
    <w:rsid w:val="00C81F5C"/>
    <w:rsid w:val="00C84DA6"/>
    <w:rsid w:val="00C850CB"/>
    <w:rsid w:val="00C9129E"/>
    <w:rsid w:val="00C9224E"/>
    <w:rsid w:val="00C92AB8"/>
    <w:rsid w:val="00C930B9"/>
    <w:rsid w:val="00C9467C"/>
    <w:rsid w:val="00C972AB"/>
    <w:rsid w:val="00CA6D9A"/>
    <w:rsid w:val="00CB0923"/>
    <w:rsid w:val="00CB417E"/>
    <w:rsid w:val="00CB42F3"/>
    <w:rsid w:val="00CB7E7B"/>
    <w:rsid w:val="00CC063D"/>
    <w:rsid w:val="00CC2DB8"/>
    <w:rsid w:val="00CD1A59"/>
    <w:rsid w:val="00CD4A51"/>
    <w:rsid w:val="00CE24C2"/>
    <w:rsid w:val="00CE47A5"/>
    <w:rsid w:val="00CF0A7C"/>
    <w:rsid w:val="00D04AA7"/>
    <w:rsid w:val="00D04F7C"/>
    <w:rsid w:val="00D11B5B"/>
    <w:rsid w:val="00D12A71"/>
    <w:rsid w:val="00D35B37"/>
    <w:rsid w:val="00D41FB8"/>
    <w:rsid w:val="00D43BB6"/>
    <w:rsid w:val="00D47768"/>
    <w:rsid w:val="00D60C28"/>
    <w:rsid w:val="00D64EDC"/>
    <w:rsid w:val="00D748EF"/>
    <w:rsid w:val="00D76BF9"/>
    <w:rsid w:val="00D905E7"/>
    <w:rsid w:val="00D93A94"/>
    <w:rsid w:val="00D94221"/>
    <w:rsid w:val="00DB0927"/>
    <w:rsid w:val="00DB3739"/>
    <w:rsid w:val="00DC0EEF"/>
    <w:rsid w:val="00DC65B8"/>
    <w:rsid w:val="00DC6B7D"/>
    <w:rsid w:val="00DC74EE"/>
    <w:rsid w:val="00DE03C5"/>
    <w:rsid w:val="00DE2885"/>
    <w:rsid w:val="00DE31E8"/>
    <w:rsid w:val="00DE70CB"/>
    <w:rsid w:val="00DF47C2"/>
    <w:rsid w:val="00DF4EB7"/>
    <w:rsid w:val="00E05D0D"/>
    <w:rsid w:val="00E112A1"/>
    <w:rsid w:val="00E14749"/>
    <w:rsid w:val="00E16FB7"/>
    <w:rsid w:val="00E1780B"/>
    <w:rsid w:val="00E2397F"/>
    <w:rsid w:val="00E26ABF"/>
    <w:rsid w:val="00E274D5"/>
    <w:rsid w:val="00E31A53"/>
    <w:rsid w:val="00E421D3"/>
    <w:rsid w:val="00E423A5"/>
    <w:rsid w:val="00E42E3F"/>
    <w:rsid w:val="00E46474"/>
    <w:rsid w:val="00E47849"/>
    <w:rsid w:val="00E53441"/>
    <w:rsid w:val="00E5473C"/>
    <w:rsid w:val="00E54A12"/>
    <w:rsid w:val="00E552B4"/>
    <w:rsid w:val="00E5558B"/>
    <w:rsid w:val="00E61A95"/>
    <w:rsid w:val="00E72C4C"/>
    <w:rsid w:val="00E72E38"/>
    <w:rsid w:val="00E80BDB"/>
    <w:rsid w:val="00E81B79"/>
    <w:rsid w:val="00E8575B"/>
    <w:rsid w:val="00E937EC"/>
    <w:rsid w:val="00E9478F"/>
    <w:rsid w:val="00E96198"/>
    <w:rsid w:val="00EA1C42"/>
    <w:rsid w:val="00EA639E"/>
    <w:rsid w:val="00EB3E7B"/>
    <w:rsid w:val="00EB6F11"/>
    <w:rsid w:val="00EC281A"/>
    <w:rsid w:val="00ED1E72"/>
    <w:rsid w:val="00ED2E86"/>
    <w:rsid w:val="00ED46AB"/>
    <w:rsid w:val="00EE4010"/>
    <w:rsid w:val="00EF3D6D"/>
    <w:rsid w:val="00F00B08"/>
    <w:rsid w:val="00F10B35"/>
    <w:rsid w:val="00F10C89"/>
    <w:rsid w:val="00F129B3"/>
    <w:rsid w:val="00F14222"/>
    <w:rsid w:val="00F235CE"/>
    <w:rsid w:val="00F31970"/>
    <w:rsid w:val="00F319BC"/>
    <w:rsid w:val="00F44B1A"/>
    <w:rsid w:val="00F503F8"/>
    <w:rsid w:val="00F54021"/>
    <w:rsid w:val="00F5744E"/>
    <w:rsid w:val="00F60A0F"/>
    <w:rsid w:val="00F62661"/>
    <w:rsid w:val="00F66976"/>
    <w:rsid w:val="00F70917"/>
    <w:rsid w:val="00F73D62"/>
    <w:rsid w:val="00F858B4"/>
    <w:rsid w:val="00F86A0E"/>
    <w:rsid w:val="00F86E3C"/>
    <w:rsid w:val="00F87C64"/>
    <w:rsid w:val="00F90648"/>
    <w:rsid w:val="00F915AA"/>
    <w:rsid w:val="00F93C44"/>
    <w:rsid w:val="00F93C54"/>
    <w:rsid w:val="00F95535"/>
    <w:rsid w:val="00F9746C"/>
    <w:rsid w:val="00FA019F"/>
    <w:rsid w:val="00FA2206"/>
    <w:rsid w:val="00FA3BEB"/>
    <w:rsid w:val="00FA46A0"/>
    <w:rsid w:val="00FB0992"/>
    <w:rsid w:val="00FB26E3"/>
    <w:rsid w:val="00FB5517"/>
    <w:rsid w:val="00FB5D0E"/>
    <w:rsid w:val="00FB73A5"/>
    <w:rsid w:val="00FB7E97"/>
    <w:rsid w:val="00FC0DB4"/>
    <w:rsid w:val="00FC106B"/>
    <w:rsid w:val="00FC151A"/>
    <w:rsid w:val="00FC218B"/>
    <w:rsid w:val="00FD1A3D"/>
    <w:rsid w:val="00FD242B"/>
    <w:rsid w:val="00FD51FF"/>
    <w:rsid w:val="00FE0497"/>
    <w:rsid w:val="00FE34C3"/>
    <w:rsid w:val="00FE706B"/>
    <w:rsid w:val="00FF0AB4"/>
    <w:rsid w:val="00FF0B2D"/>
    <w:rsid w:val="00FF0C3D"/>
    <w:rsid w:val="00FF1198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7AA30E"/>
  <w15:docId w15:val="{17B4B2FC-73B0-462B-B07B-40AD8C69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B82"/>
  </w:style>
  <w:style w:type="paragraph" w:styleId="Heading1">
    <w:name w:val="heading 1"/>
    <w:basedOn w:val="Normal"/>
    <w:next w:val="Normal"/>
    <w:link w:val="Heading1Char"/>
    <w:uiPriority w:val="9"/>
    <w:qFormat/>
    <w:rsid w:val="000C2B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D0EF3"/>
    <w:pPr>
      <w:keepNext/>
      <w:keepLines/>
      <w:spacing w:befor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C2B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0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2B8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0C2B82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C2B8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C2B82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color w:val="4F81BD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2B82"/>
    <w:rPr>
      <w:rFonts w:asciiTheme="majorHAnsi" w:eastAsiaTheme="majorEastAsia" w:hAnsiTheme="majorHAnsi" w:cstheme="majorBidi"/>
      <w:b/>
      <w:iCs/>
      <w:color w:val="4F81BD" w:themeColor="accent1"/>
      <w:spacing w:val="15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B8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C2B82"/>
  </w:style>
  <w:style w:type="paragraph" w:styleId="Footer">
    <w:name w:val="footer"/>
    <w:basedOn w:val="Normal"/>
    <w:link w:val="FooterChar"/>
    <w:uiPriority w:val="99"/>
    <w:unhideWhenUsed/>
    <w:rsid w:val="000C2B8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C2B82"/>
  </w:style>
  <w:style w:type="paragraph" w:styleId="BalloonText">
    <w:name w:val="Balloon Text"/>
    <w:basedOn w:val="Normal"/>
    <w:link w:val="BalloonTextChar"/>
    <w:uiPriority w:val="99"/>
    <w:semiHidden/>
    <w:unhideWhenUsed/>
    <w:rsid w:val="000C2B8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WACC\Papers\MOTA\MOTA\MOTA%20analysis%20exampl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WACC\Papers\MOTA\MOTA\MOTA%20analysis%20exampl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WACC\Papers\MOTA\MOTA\MOTA%20analysis%20exampl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WACC\Papers\MOTA\MOTA\MOTA%20analysis%20exampl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WACC\Papers\MOTA\MOTA\MOTA%20analysis%20exampl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28386811023622088"/>
          <c:y val="0.25841644794400764"/>
          <c:w val="0.46281955380577472"/>
          <c:h val="0.69729184893554974"/>
        </c:manualLayout>
      </c:layout>
      <c:radarChart>
        <c:radarStyle val="marker"/>
        <c:varyColors val="0"/>
        <c:ser>
          <c:idx val="0"/>
          <c:order val="0"/>
          <c:tx>
            <c:strRef>
              <c:f>Group!$F$45</c:f>
              <c:strCache>
                <c:ptCount val="1"/>
                <c:pt idx="0">
                  <c:v>Rating</c:v>
                </c:pt>
              </c:strCache>
            </c:strRef>
          </c:tx>
          <c:spPr>
            <a:ln>
              <a:noFill/>
            </a:ln>
          </c:spPr>
          <c:marker>
            <c:spPr>
              <a:noFill/>
              <a:ln>
                <a:noFill/>
              </a:ln>
            </c:spPr>
          </c:marker>
          <c:cat>
            <c:strRef>
              <c:f>Group!$E$46:$E$48</c:f>
              <c:strCache>
                <c:ptCount val="3"/>
                <c:pt idx="0">
                  <c:v>Financial</c:v>
                </c:pt>
                <c:pt idx="1">
                  <c:v>Technical</c:v>
                </c:pt>
                <c:pt idx="2">
                  <c:v>Institutional</c:v>
                </c:pt>
              </c:strCache>
            </c:strRef>
          </c:cat>
          <c:val>
            <c:numRef>
              <c:f>Group!$F$46:$F$48</c:f>
              <c:numCache>
                <c:formatCode>General</c:formatCode>
                <c:ptCount val="3"/>
                <c:pt idx="0">
                  <c:v>0.30000000000000027</c:v>
                </c:pt>
                <c:pt idx="1">
                  <c:v>0.70000000000000051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03-4D80-A3ED-316EE149CE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4825456"/>
        <c:axId val="374536064"/>
      </c:radarChart>
      <c:catAx>
        <c:axId val="434825456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374536064"/>
        <c:crosses val="autoZero"/>
        <c:auto val="1"/>
        <c:lblAlgn val="ctr"/>
        <c:lblOffset val="100"/>
        <c:noMultiLvlLbl val="0"/>
      </c:catAx>
      <c:valAx>
        <c:axId val="374536064"/>
        <c:scaling>
          <c:orientation val="minMax"/>
          <c:max val="1"/>
          <c:min val="0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txPr>
          <a:bodyPr/>
          <a:lstStyle/>
          <a:p>
            <a:pPr>
              <a:defRPr>
                <a:solidFill>
                  <a:schemeClr val="bg1"/>
                </a:solidFill>
              </a:defRPr>
            </a:pPr>
            <a:endParaRPr lang="en-US"/>
          </a:p>
        </c:txPr>
        <c:crossAx val="434825456"/>
        <c:crosses val="autoZero"/>
        <c:crossBetween val="between"/>
        <c:majorUnit val="0.33000000000000063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en-US"/>
              <a:t>MOTA mapping </a:t>
            </a:r>
          </a:p>
        </c:rich>
      </c:tx>
      <c:layout>
        <c:manualLayout>
          <c:xMode val="edge"/>
          <c:yMode val="edge"/>
          <c:x val="0.3508961103618958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4346321350715274E-2"/>
          <c:y val="0.16697444069491321"/>
          <c:w val="0.88119700507049881"/>
          <c:h val="0.56839895013123354"/>
        </c:manualLayout>
      </c:layout>
      <c:scatterChart>
        <c:scatterStyle val="lineMarker"/>
        <c:varyColors val="0"/>
        <c:ser>
          <c:idx val="0"/>
          <c:order val="0"/>
          <c:tx>
            <c:strRef>
              <c:f>Group!$I$2</c:f>
              <c:strCache>
                <c:ptCount val="1"/>
                <c:pt idx="0">
                  <c:v>Ability Index</c:v>
                </c:pt>
              </c:strCache>
            </c:strRef>
          </c:tx>
          <c:spPr>
            <a:ln w="28575">
              <a:noFill/>
            </a:ln>
          </c:spPr>
          <c:marker>
            <c:spPr>
              <a:noFill/>
              <a:ln>
                <a:noFill/>
              </a:ln>
            </c:spPr>
          </c:marker>
          <c:xVal>
            <c:numRef>
              <c:f>Group!$H$3:$H$8</c:f>
              <c:numCache>
                <c:formatCode>0.00</c:formatCode>
                <c:ptCount val="6"/>
                <c:pt idx="0">
                  <c:v>-0.36666666666666703</c:v>
                </c:pt>
                <c:pt idx="1">
                  <c:v>0.71666666666666667</c:v>
                </c:pt>
                <c:pt idx="2">
                  <c:v>0.66666666666666663</c:v>
                </c:pt>
                <c:pt idx="3">
                  <c:v>0.46666666666666706</c:v>
                </c:pt>
                <c:pt idx="4">
                  <c:v>-0.10000000000000002</c:v>
                </c:pt>
                <c:pt idx="5">
                  <c:v>-6.666666666666668E-2</c:v>
                </c:pt>
              </c:numCache>
            </c:numRef>
          </c:xVal>
          <c:yVal>
            <c:numRef>
              <c:f>Group!$I$3:$I$8</c:f>
              <c:numCache>
                <c:formatCode>0.00</c:formatCode>
                <c:ptCount val="6"/>
                <c:pt idx="0">
                  <c:v>0.41666666666666702</c:v>
                </c:pt>
                <c:pt idx="1">
                  <c:v>0.43333333333333335</c:v>
                </c:pt>
                <c:pt idx="2">
                  <c:v>0.66666666666666663</c:v>
                </c:pt>
                <c:pt idx="3">
                  <c:v>0.46666666666666695</c:v>
                </c:pt>
                <c:pt idx="4">
                  <c:v>0.8333333333333337</c:v>
                </c:pt>
                <c:pt idx="5">
                  <c:v>0.40000000000000008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88D-485A-BDB9-0DF536722F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4478264"/>
        <c:axId val="374478656"/>
      </c:scatterChart>
      <c:valAx>
        <c:axId val="374478264"/>
        <c:scaling>
          <c:orientation val="minMax"/>
          <c:max val="1"/>
          <c:min val="-1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lang="en-US" sz="1400" b="1"/>
                </a:pPr>
                <a:r>
                  <a:rPr lang="en-US" sz="1400" b="1"/>
                  <a:t>Motivation Index</a:t>
                </a: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lang="en-US">
                <a:solidFill>
                  <a:schemeClr val="bg1"/>
                </a:solidFill>
              </a:defRPr>
            </a:pPr>
            <a:endParaRPr lang="en-US"/>
          </a:p>
        </c:txPr>
        <c:crossAx val="374478656"/>
        <c:crosses val="autoZero"/>
        <c:crossBetween val="midCat"/>
        <c:majorUnit val="0.4"/>
      </c:valAx>
      <c:valAx>
        <c:axId val="374478656"/>
        <c:scaling>
          <c:orientation val="minMax"/>
          <c:max val="1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lang="en-US" sz="1400"/>
                </a:pPr>
                <a:r>
                  <a:rPr lang="en-US" sz="1400"/>
                  <a:t>Ability Index</a:t>
                </a: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lang="en-US">
                <a:solidFill>
                  <a:schemeClr val="bg1"/>
                </a:solidFill>
              </a:defRPr>
            </a:pPr>
            <a:endParaRPr lang="en-US"/>
          </a:p>
        </c:txPr>
        <c:crossAx val="374478264"/>
        <c:crosses val="autoZero"/>
        <c:crossBetween val="midCat"/>
        <c:majorUnit val="0.33000000000000057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en-US"/>
              <a:t>MOTA mapping </a:t>
            </a:r>
          </a:p>
          <a:p>
            <a:pPr>
              <a:defRPr lang="en-US"/>
            </a:pPr>
            <a:r>
              <a:rPr lang="en-GB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MoWE (M</a:t>
            </a:r>
            <a:r>
              <a:rPr lang="en-US" sz="1400" baseline="0"/>
              <a:t>1 and M2)</a:t>
            </a:r>
            <a:endParaRPr lang="en-US" sz="1400"/>
          </a:p>
        </c:rich>
      </c:tx>
      <c:layout>
        <c:manualLayout>
          <c:xMode val="edge"/>
          <c:yMode val="edge"/>
          <c:x val="0.3508961103618957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4346321350715233E-2"/>
          <c:y val="0.16697444069491321"/>
          <c:w val="0.88119700507049881"/>
          <c:h val="0.56839895013123354"/>
        </c:manualLayout>
      </c:layout>
      <c:scatterChart>
        <c:scatterStyle val="lineMarker"/>
        <c:varyColors val="0"/>
        <c:ser>
          <c:idx val="0"/>
          <c:order val="0"/>
          <c:tx>
            <c:strRef>
              <c:f>Group!$I$2</c:f>
              <c:strCache>
                <c:ptCount val="1"/>
                <c:pt idx="0">
                  <c:v>Ability Index</c:v>
                </c:pt>
              </c:strCache>
            </c:strRef>
          </c:tx>
          <c:spPr>
            <a:ln w="28575">
              <a:noFill/>
            </a:ln>
          </c:spPr>
          <c:marker>
            <c:spPr>
              <a:noFill/>
              <a:ln>
                <a:noFill/>
              </a:ln>
            </c:spPr>
          </c:marker>
          <c:xVal>
            <c:numRef>
              <c:f>Group!$H$3:$H$8</c:f>
              <c:numCache>
                <c:formatCode>0.00</c:formatCode>
                <c:ptCount val="6"/>
                <c:pt idx="0">
                  <c:v>-0.36666666666666703</c:v>
                </c:pt>
                <c:pt idx="1">
                  <c:v>0.71666666666666667</c:v>
                </c:pt>
                <c:pt idx="2">
                  <c:v>0.66666666666666663</c:v>
                </c:pt>
                <c:pt idx="3">
                  <c:v>0.46666666666666706</c:v>
                </c:pt>
                <c:pt idx="4">
                  <c:v>-0.10000000000000002</c:v>
                </c:pt>
                <c:pt idx="5">
                  <c:v>-6.666666666666668E-2</c:v>
                </c:pt>
              </c:numCache>
            </c:numRef>
          </c:xVal>
          <c:yVal>
            <c:numRef>
              <c:f>Group!$I$3:$I$8</c:f>
              <c:numCache>
                <c:formatCode>0.00</c:formatCode>
                <c:ptCount val="6"/>
                <c:pt idx="0">
                  <c:v>0.41666666666666702</c:v>
                </c:pt>
                <c:pt idx="1">
                  <c:v>0.43333333333333335</c:v>
                </c:pt>
                <c:pt idx="2">
                  <c:v>0.66666666666666663</c:v>
                </c:pt>
                <c:pt idx="3">
                  <c:v>0.46666666666666695</c:v>
                </c:pt>
                <c:pt idx="4">
                  <c:v>0.8333333333333337</c:v>
                </c:pt>
                <c:pt idx="5">
                  <c:v>0.40000000000000008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071-409B-A168-4734A6B8E0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4479440"/>
        <c:axId val="374479832"/>
      </c:scatterChart>
      <c:valAx>
        <c:axId val="374479440"/>
        <c:scaling>
          <c:orientation val="minMax"/>
          <c:max val="1"/>
          <c:min val="-1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lang="en-US" sz="1400" b="1"/>
                </a:pPr>
                <a:r>
                  <a:rPr lang="en-US" sz="1400" b="1"/>
                  <a:t>Motivation Index</a:t>
                </a: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lang="en-US">
                <a:solidFill>
                  <a:schemeClr val="bg1"/>
                </a:solidFill>
              </a:defRPr>
            </a:pPr>
            <a:endParaRPr lang="en-US"/>
          </a:p>
        </c:txPr>
        <c:crossAx val="374479832"/>
        <c:crosses val="autoZero"/>
        <c:crossBetween val="midCat"/>
        <c:majorUnit val="0.4"/>
      </c:valAx>
      <c:valAx>
        <c:axId val="374479832"/>
        <c:scaling>
          <c:orientation val="minMax"/>
          <c:max val="1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lang="en-US" sz="1400"/>
                </a:pPr>
                <a:r>
                  <a:rPr lang="en-US" sz="1400"/>
                  <a:t>Ability Index</a:t>
                </a: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lang="en-US">
                <a:solidFill>
                  <a:schemeClr val="bg1"/>
                </a:solidFill>
              </a:defRPr>
            </a:pPr>
            <a:endParaRPr lang="en-US"/>
          </a:p>
        </c:txPr>
        <c:crossAx val="374479440"/>
        <c:crosses val="autoZero"/>
        <c:crossBetween val="midCat"/>
        <c:majorUnit val="0.33000000000000046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Project feasibility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8386811023622088"/>
          <c:y val="0.25841644794400764"/>
          <c:w val="0.46281955380577472"/>
          <c:h val="0.69729184893554974"/>
        </c:manualLayout>
      </c:layout>
      <c:radarChart>
        <c:radarStyle val="marker"/>
        <c:varyColors val="0"/>
        <c:ser>
          <c:idx val="0"/>
          <c:order val="0"/>
          <c:tx>
            <c:strRef>
              <c:f>Group!$F$45</c:f>
              <c:strCache>
                <c:ptCount val="1"/>
                <c:pt idx="0">
                  <c:v>Rating</c:v>
                </c:pt>
              </c:strCache>
            </c:strRef>
          </c:tx>
          <c:spPr>
            <a:ln>
              <a:noFill/>
            </a:ln>
          </c:spPr>
          <c:marker>
            <c:spPr>
              <a:noFill/>
              <a:ln>
                <a:noFill/>
              </a:ln>
            </c:spPr>
          </c:marker>
          <c:cat>
            <c:strRef>
              <c:f>Group!$E$46:$E$48</c:f>
              <c:strCache>
                <c:ptCount val="3"/>
                <c:pt idx="0">
                  <c:v>Financial</c:v>
                </c:pt>
                <c:pt idx="1">
                  <c:v>Technical</c:v>
                </c:pt>
                <c:pt idx="2">
                  <c:v>Institutional</c:v>
                </c:pt>
              </c:strCache>
            </c:strRef>
          </c:cat>
          <c:val>
            <c:numRef>
              <c:f>Group!$F$46:$F$48</c:f>
              <c:numCache>
                <c:formatCode>General</c:formatCode>
                <c:ptCount val="3"/>
                <c:pt idx="0">
                  <c:v>0.30000000000000027</c:v>
                </c:pt>
                <c:pt idx="1">
                  <c:v>0.70000000000000051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00-4B51-A46C-F9A4F22B87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4716160"/>
        <c:axId val="374716552"/>
      </c:radarChart>
      <c:catAx>
        <c:axId val="374716160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374716552"/>
        <c:crosses val="autoZero"/>
        <c:auto val="1"/>
        <c:lblAlgn val="ctr"/>
        <c:lblOffset val="100"/>
        <c:noMultiLvlLbl val="0"/>
      </c:catAx>
      <c:valAx>
        <c:axId val="374716552"/>
        <c:scaling>
          <c:orientation val="minMax"/>
          <c:max val="1"/>
          <c:min val="0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txPr>
          <a:bodyPr/>
          <a:lstStyle/>
          <a:p>
            <a:pPr>
              <a:defRPr>
                <a:solidFill>
                  <a:schemeClr val="bg1"/>
                </a:solidFill>
              </a:defRPr>
            </a:pPr>
            <a:endParaRPr lang="en-US"/>
          </a:p>
        </c:txPr>
        <c:crossAx val="374716160"/>
        <c:crosses val="autoZero"/>
        <c:crossBetween val="between"/>
        <c:majorUnit val="0.33000000000000063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Project Affordability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8386811023622088"/>
          <c:y val="0.25841644794400764"/>
          <c:w val="0.38781999125109418"/>
          <c:h val="0.57991774392686857"/>
        </c:manualLayout>
      </c:layout>
      <c:radarChart>
        <c:radarStyle val="marker"/>
        <c:varyColors val="0"/>
        <c:ser>
          <c:idx val="0"/>
          <c:order val="0"/>
          <c:tx>
            <c:strRef>
              <c:f>Group!$F$45</c:f>
              <c:strCache>
                <c:ptCount val="1"/>
                <c:pt idx="0">
                  <c:v>Rating</c:v>
                </c:pt>
              </c:strCache>
            </c:strRef>
          </c:tx>
          <c:spPr>
            <a:ln>
              <a:noFill/>
            </a:ln>
          </c:spPr>
          <c:marker>
            <c:spPr>
              <a:noFill/>
              <a:ln>
                <a:noFill/>
              </a:ln>
            </c:spPr>
          </c:marker>
          <c:cat>
            <c:strRef>
              <c:f>Group!$E$46:$E$49</c:f>
              <c:strCache>
                <c:ptCount val="4"/>
                <c:pt idx="0">
                  <c:v>Financial</c:v>
                </c:pt>
                <c:pt idx="1">
                  <c:v>Technical</c:v>
                </c:pt>
                <c:pt idx="2">
                  <c:v>Institutional</c:v>
                </c:pt>
                <c:pt idx="3">
                  <c:v>Social</c:v>
                </c:pt>
              </c:strCache>
            </c:strRef>
          </c:cat>
          <c:val>
            <c:numRef>
              <c:f>Group!$F$46:$F$49</c:f>
              <c:numCache>
                <c:formatCode>General</c:formatCode>
                <c:ptCount val="4"/>
                <c:pt idx="0">
                  <c:v>0.30000000000000027</c:v>
                </c:pt>
                <c:pt idx="1">
                  <c:v>0.70000000000000051</c:v>
                </c:pt>
                <c:pt idx="2">
                  <c:v>1</c:v>
                </c:pt>
                <c:pt idx="3">
                  <c:v>0.30000000000000027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63-4638-BAFA-C6955654DF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4717336"/>
        <c:axId val="434895640"/>
      </c:radarChart>
      <c:catAx>
        <c:axId val="374717336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434895640"/>
        <c:crosses val="autoZero"/>
        <c:auto val="1"/>
        <c:lblAlgn val="ctr"/>
        <c:lblOffset val="100"/>
        <c:noMultiLvlLbl val="0"/>
      </c:catAx>
      <c:valAx>
        <c:axId val="434895640"/>
        <c:scaling>
          <c:orientation val="minMax"/>
          <c:max val="1"/>
          <c:min val="0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txPr>
          <a:bodyPr/>
          <a:lstStyle/>
          <a:p>
            <a:pPr>
              <a:defRPr>
                <a:solidFill>
                  <a:schemeClr val="bg1"/>
                </a:solidFill>
              </a:defRPr>
            </a:pPr>
            <a:endParaRPr lang="en-US"/>
          </a:p>
        </c:txPr>
        <c:crossAx val="374717336"/>
        <c:crosses val="autoZero"/>
        <c:crossBetween val="between"/>
        <c:majorUnit val="0.33000000000000063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</dc:creator>
  <cp:lastModifiedBy>Jaap Evers</cp:lastModifiedBy>
  <cp:revision>3</cp:revision>
  <cp:lastPrinted>2025-10-16T09:24:00Z</cp:lastPrinted>
  <dcterms:created xsi:type="dcterms:W3CDTF">2025-10-16T08:44:00Z</dcterms:created>
  <dcterms:modified xsi:type="dcterms:W3CDTF">2025-10-16T13:53:00Z</dcterms:modified>
</cp:coreProperties>
</file>