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7FC3B" w14:textId="0577D03A" w:rsidR="00E50D93" w:rsidRPr="00B610D8" w:rsidRDefault="00203F1C" w:rsidP="00B610D8">
      <w:pPr>
        <w:keepNext/>
        <w:jc w:val="both"/>
        <w:rPr>
          <w:rFonts w:ascii="Times New Roman" w:hAnsi="Times New Roman" w:cs="Times New Roman"/>
          <w:b/>
          <w:noProof/>
          <w:sz w:val="28"/>
          <w:szCs w:val="28"/>
          <w:lang w:val="en-ZA" w:eastAsia="en-ZA"/>
        </w:rPr>
      </w:pPr>
      <w:r>
        <w:rPr>
          <w:rFonts w:ascii="Times New Roman" w:hAnsi="Times New Roman" w:cs="Times New Roman"/>
          <w:b/>
          <w:noProof/>
          <w:sz w:val="28"/>
          <w:szCs w:val="28"/>
          <w:lang w:val="en-ZA" w:eastAsia="en-ZA"/>
        </w:rPr>
        <w:t>A</w:t>
      </w:r>
      <w:r w:rsidR="00682DC7" w:rsidRPr="00B610D8">
        <w:rPr>
          <w:rFonts w:ascii="Times New Roman" w:hAnsi="Times New Roman" w:cs="Times New Roman"/>
          <w:b/>
          <w:noProof/>
          <w:sz w:val="28"/>
          <w:szCs w:val="28"/>
          <w:lang w:val="en-ZA" w:eastAsia="en-ZA"/>
        </w:rPr>
        <w:t xml:space="preserve"> </w:t>
      </w:r>
      <w:r w:rsidR="00343337" w:rsidRPr="00B610D8">
        <w:rPr>
          <w:rFonts w:ascii="Times New Roman" w:hAnsi="Times New Roman" w:cs="Times New Roman"/>
          <w:b/>
          <w:noProof/>
          <w:sz w:val="28"/>
          <w:szCs w:val="28"/>
          <w:lang w:val="en-ZA" w:eastAsia="en-ZA"/>
        </w:rPr>
        <w:t xml:space="preserve">solar-powered private smallholder irrigation </w:t>
      </w:r>
      <w:r w:rsidR="00682DC7" w:rsidRPr="00B610D8">
        <w:rPr>
          <w:rFonts w:ascii="Times New Roman" w:hAnsi="Times New Roman" w:cs="Times New Roman"/>
          <w:b/>
          <w:noProof/>
          <w:sz w:val="28"/>
          <w:szCs w:val="28"/>
          <w:lang w:val="en-ZA" w:eastAsia="en-ZA"/>
        </w:rPr>
        <w:t xml:space="preserve">along </w:t>
      </w:r>
      <w:r w:rsidR="00CE19A5" w:rsidRPr="00B610D8">
        <w:rPr>
          <w:rFonts w:ascii="Times New Roman" w:hAnsi="Times New Roman" w:cs="Times New Roman"/>
          <w:b/>
          <w:noProof/>
          <w:sz w:val="28"/>
          <w:szCs w:val="28"/>
          <w:lang w:val="en-ZA" w:eastAsia="en-ZA"/>
        </w:rPr>
        <w:t xml:space="preserve">Shashi and Shashane </w:t>
      </w:r>
      <w:r w:rsidR="00682DC7" w:rsidRPr="00B610D8">
        <w:rPr>
          <w:rFonts w:ascii="Times New Roman" w:hAnsi="Times New Roman" w:cs="Times New Roman"/>
          <w:b/>
          <w:noProof/>
          <w:sz w:val="28"/>
          <w:szCs w:val="28"/>
          <w:lang w:val="en-ZA" w:eastAsia="en-ZA"/>
        </w:rPr>
        <w:t>sand rivers in southern Zimbabwe</w:t>
      </w:r>
      <w:r>
        <w:rPr>
          <w:rFonts w:ascii="Times New Roman" w:hAnsi="Times New Roman" w:cs="Times New Roman"/>
          <w:b/>
          <w:noProof/>
          <w:sz w:val="28"/>
          <w:szCs w:val="28"/>
          <w:lang w:val="en-ZA" w:eastAsia="en-ZA"/>
        </w:rPr>
        <w:t xml:space="preserve">  (Limpopo river basin)</w:t>
      </w:r>
    </w:p>
    <w:p w14:paraId="5A70B2D8" w14:textId="2362BC7E" w:rsidR="009B1336" w:rsidRDefault="009F6F30" w:rsidP="00B610D8">
      <w:pPr>
        <w:pStyle w:val="Heading1"/>
        <w:jc w:val="both"/>
        <w:rPr>
          <w:rFonts w:ascii="Times New Roman" w:hAnsi="Times New Roman" w:cs="Times New Roman"/>
        </w:rPr>
      </w:pPr>
      <w:r>
        <w:rPr>
          <w:rFonts w:ascii="Times New Roman" w:hAnsi="Times New Roman" w:cs="Times New Roman"/>
        </w:rPr>
        <w:t>Background</w:t>
      </w:r>
    </w:p>
    <w:p w14:paraId="1DDAD93F" w14:textId="77777777" w:rsidR="003D76FC" w:rsidRPr="003D76FC" w:rsidRDefault="003D76FC" w:rsidP="003D76FC"/>
    <w:p w14:paraId="0F0DC7E9" w14:textId="284F3D60" w:rsidR="00DF3788" w:rsidRPr="005E57B4" w:rsidRDefault="00011DDD" w:rsidP="0073463E">
      <w:pPr>
        <w:spacing w:line="240" w:lineRule="auto"/>
        <w:jc w:val="both"/>
        <w:rPr>
          <w:rFonts w:ascii="Times New Roman" w:hAnsi="Times New Roman" w:cs="Times New Roman"/>
        </w:rPr>
      </w:pPr>
      <w:r w:rsidRPr="00011DDD">
        <w:rPr>
          <w:rFonts w:ascii="Times New Roman" w:hAnsi="Times New Roman" w:cs="Times New Roman"/>
        </w:rPr>
        <w:t>Global projections indicate that demand for freshwater, energy and food will increase significantly over the next decades under the pressure of population growth and mobility, economic development, international trade, urbanisation, diversifying diets, cultural and technological changes, and climate change</w:t>
      </w:r>
      <w:r w:rsidR="00F547E6">
        <w:rPr>
          <w:rFonts w:ascii="Times New Roman" w:hAnsi="Times New Roman" w:cs="Times New Roman"/>
        </w:rPr>
        <w:t xml:space="preserve"> </w:t>
      </w:r>
      <w:r w:rsidR="00B92EB0">
        <w:rPr>
          <w:rFonts w:ascii="Times New Roman" w:hAnsi="Times New Roman" w:cs="Times New Roman"/>
          <w:noProof/>
        </w:rPr>
        <w:t>(Hoff, 2011)</w:t>
      </w:r>
      <w:r w:rsidR="00F547E6">
        <w:rPr>
          <w:rFonts w:ascii="Times New Roman" w:hAnsi="Times New Roman" w:cs="Times New Roman"/>
        </w:rPr>
        <w:t xml:space="preserve">. </w:t>
      </w:r>
      <w:r w:rsidR="006578BA" w:rsidRPr="005E57B4">
        <w:rPr>
          <w:rFonts w:ascii="Times New Roman" w:hAnsi="Times New Roman" w:cs="Times New Roman"/>
        </w:rPr>
        <w:t>Globally, smallholder irrigation systems</w:t>
      </w:r>
      <w:r w:rsidR="008C1B38" w:rsidRPr="005E57B4">
        <w:rPr>
          <w:rFonts w:ascii="Times New Roman" w:hAnsi="Times New Roman" w:cs="Times New Roman"/>
        </w:rPr>
        <w:t xml:space="preserve"> have gained increasing attention </w:t>
      </w:r>
      <w:r w:rsidR="00DF3788" w:rsidRPr="005E57B4">
        <w:rPr>
          <w:rFonts w:ascii="Times New Roman" w:hAnsi="Times New Roman" w:cs="Times New Roman"/>
        </w:rPr>
        <w:t xml:space="preserve">as they </w:t>
      </w:r>
      <w:r w:rsidR="006578BA" w:rsidRPr="005E57B4">
        <w:rPr>
          <w:rFonts w:ascii="Times New Roman" w:hAnsi="Times New Roman" w:cs="Times New Roman"/>
        </w:rPr>
        <w:t xml:space="preserve">are viewed as critical </w:t>
      </w:r>
      <w:r w:rsidR="001C6C9D" w:rsidRPr="005E57B4">
        <w:rPr>
          <w:rFonts w:ascii="Times New Roman" w:hAnsi="Times New Roman" w:cs="Times New Roman"/>
        </w:rPr>
        <w:t>mechanisms</w:t>
      </w:r>
      <w:r w:rsidR="006578BA" w:rsidRPr="005E57B4">
        <w:rPr>
          <w:rFonts w:ascii="Times New Roman" w:hAnsi="Times New Roman" w:cs="Times New Roman"/>
        </w:rPr>
        <w:t xml:space="preserve"> that are needed to improve food security and sustain livelihoods in </w:t>
      </w:r>
      <w:r w:rsidR="000E67CB" w:rsidRPr="005E57B4">
        <w:rPr>
          <w:rFonts w:ascii="Times New Roman" w:hAnsi="Times New Roman" w:cs="Times New Roman"/>
        </w:rPr>
        <w:t xml:space="preserve">marginalised </w:t>
      </w:r>
      <w:r w:rsidR="006578BA" w:rsidRPr="005E57B4">
        <w:rPr>
          <w:rFonts w:ascii="Times New Roman" w:hAnsi="Times New Roman" w:cs="Times New Roman"/>
        </w:rPr>
        <w:t>semi-arid regions</w:t>
      </w:r>
      <w:r w:rsidR="004C5A1E" w:rsidRPr="005E57B4">
        <w:rPr>
          <w:rFonts w:ascii="Times New Roman" w:hAnsi="Times New Roman" w:cs="Times New Roman"/>
        </w:rPr>
        <w:t xml:space="preserve"> </w:t>
      </w:r>
      <w:r w:rsidR="007170E6" w:rsidRPr="005E57B4">
        <w:rPr>
          <w:rFonts w:ascii="Times New Roman" w:hAnsi="Times New Roman" w:cs="Times New Roman"/>
          <w:noProof/>
        </w:rPr>
        <w:t>(Duker et al., 2020b)</w:t>
      </w:r>
      <w:r w:rsidR="006578BA" w:rsidRPr="005E57B4">
        <w:rPr>
          <w:rFonts w:ascii="Times New Roman" w:hAnsi="Times New Roman" w:cs="Times New Roman"/>
        </w:rPr>
        <w:t xml:space="preserve">. Improving agriculture and </w:t>
      </w:r>
      <w:r w:rsidR="00685B3A" w:rsidRPr="005E57B4">
        <w:rPr>
          <w:rFonts w:ascii="Times New Roman" w:hAnsi="Times New Roman" w:cs="Times New Roman"/>
        </w:rPr>
        <w:t>intensifying</w:t>
      </w:r>
      <w:r w:rsidR="006578BA" w:rsidRPr="005E57B4">
        <w:rPr>
          <w:rFonts w:ascii="Times New Roman" w:hAnsi="Times New Roman" w:cs="Times New Roman"/>
        </w:rPr>
        <w:t xml:space="preserve"> productivity through smallholder irrigation is one of the key strategies for alleviating poverty and improving the livelihoods of rural communities; the majority of the poor depend directly or indirectly on agriculture. </w:t>
      </w:r>
      <w:r w:rsidR="00E92B4D" w:rsidRPr="005E57B4">
        <w:rPr>
          <w:rFonts w:ascii="Times New Roman" w:hAnsi="Times New Roman" w:cs="Times New Roman"/>
        </w:rPr>
        <w:t xml:space="preserve">This is particularly </w:t>
      </w:r>
      <w:r w:rsidR="00903770" w:rsidRPr="005E57B4">
        <w:rPr>
          <w:rFonts w:ascii="Times New Roman" w:hAnsi="Times New Roman" w:cs="Times New Roman"/>
        </w:rPr>
        <w:t>the case</w:t>
      </w:r>
      <w:r w:rsidR="00E92B4D" w:rsidRPr="005E57B4">
        <w:rPr>
          <w:rFonts w:ascii="Times New Roman" w:hAnsi="Times New Roman" w:cs="Times New Roman"/>
        </w:rPr>
        <w:t xml:space="preserve"> </w:t>
      </w:r>
      <w:r w:rsidR="00903770" w:rsidRPr="005E57B4">
        <w:rPr>
          <w:rFonts w:ascii="Times New Roman" w:hAnsi="Times New Roman" w:cs="Times New Roman"/>
        </w:rPr>
        <w:t xml:space="preserve">of </w:t>
      </w:r>
      <w:r w:rsidR="00E92B4D" w:rsidRPr="005E57B4">
        <w:rPr>
          <w:rFonts w:ascii="Times New Roman" w:hAnsi="Times New Roman" w:cs="Times New Roman"/>
        </w:rPr>
        <w:t xml:space="preserve">Zimbabwe, where approximately 80% of agricultural land lies in arid or semi-arid regions </w:t>
      </w:r>
      <w:r w:rsidR="00E92B4D" w:rsidRPr="005E57B4">
        <w:rPr>
          <w:rFonts w:ascii="Times New Roman" w:hAnsi="Times New Roman" w:cs="Times New Roman"/>
          <w:noProof/>
        </w:rPr>
        <w:t>(Svubure et al., 2011)</w:t>
      </w:r>
      <w:r w:rsidR="00E92B4D" w:rsidRPr="005E57B4">
        <w:rPr>
          <w:rFonts w:ascii="Times New Roman" w:hAnsi="Times New Roman" w:cs="Times New Roman"/>
        </w:rPr>
        <w:t xml:space="preserve">. Rainfall in these regions is too erratic and unreliable for dryland farming, making supplementary irrigation necessary for successful agriculture. </w:t>
      </w:r>
      <w:r w:rsidR="000E7AAF" w:rsidRPr="005E57B4">
        <w:rPr>
          <w:rFonts w:ascii="Times New Roman" w:hAnsi="Times New Roman" w:cs="Times New Roman"/>
        </w:rPr>
        <w:t xml:space="preserve">Regardless of state-level interests in larger-scale and more modern systems of </w:t>
      </w:r>
      <w:r w:rsidR="00E92B4D" w:rsidRPr="005E57B4">
        <w:rPr>
          <w:rFonts w:ascii="Times New Roman" w:hAnsi="Times New Roman" w:cs="Times New Roman"/>
        </w:rPr>
        <w:t xml:space="preserve">food </w:t>
      </w:r>
      <w:r w:rsidR="000E7AAF" w:rsidRPr="005E57B4">
        <w:rPr>
          <w:rFonts w:ascii="Times New Roman" w:hAnsi="Times New Roman" w:cs="Times New Roman"/>
        </w:rPr>
        <w:t>production, small-scale farmers</w:t>
      </w:r>
      <w:r w:rsidR="00E92B4D" w:rsidRPr="005E57B4">
        <w:rPr>
          <w:rFonts w:ascii="Times New Roman" w:hAnsi="Times New Roman" w:cs="Times New Roman"/>
        </w:rPr>
        <w:t xml:space="preserve"> </w:t>
      </w:r>
      <w:r w:rsidR="000E7AAF" w:rsidRPr="005E57B4">
        <w:rPr>
          <w:rFonts w:ascii="Times New Roman" w:hAnsi="Times New Roman" w:cs="Times New Roman"/>
        </w:rPr>
        <w:t>continue to comprise a substantial proportion of the</w:t>
      </w:r>
      <w:r w:rsidR="00E92B4D" w:rsidRPr="005E57B4">
        <w:rPr>
          <w:rFonts w:ascii="Times New Roman" w:hAnsi="Times New Roman" w:cs="Times New Roman"/>
        </w:rPr>
        <w:t xml:space="preserve"> </w:t>
      </w:r>
      <w:r w:rsidR="000E7AAF" w:rsidRPr="005E57B4">
        <w:rPr>
          <w:rFonts w:ascii="Times New Roman" w:hAnsi="Times New Roman" w:cs="Times New Roman"/>
        </w:rPr>
        <w:t>population and are responsible for much of the crop</w:t>
      </w:r>
      <w:r w:rsidR="00E92B4D" w:rsidRPr="005E57B4">
        <w:rPr>
          <w:rFonts w:ascii="Times New Roman" w:hAnsi="Times New Roman" w:cs="Times New Roman"/>
        </w:rPr>
        <w:t xml:space="preserve"> </w:t>
      </w:r>
      <w:r w:rsidR="000E7AAF" w:rsidRPr="005E57B4">
        <w:rPr>
          <w:rFonts w:ascii="Times New Roman" w:hAnsi="Times New Roman" w:cs="Times New Roman"/>
        </w:rPr>
        <w:t>production in many developing countries</w:t>
      </w:r>
      <w:r w:rsidR="00E92B4D" w:rsidRPr="005E57B4">
        <w:rPr>
          <w:rFonts w:ascii="Times New Roman" w:hAnsi="Times New Roman" w:cs="Times New Roman"/>
        </w:rPr>
        <w:t xml:space="preserve">. </w:t>
      </w:r>
    </w:p>
    <w:p w14:paraId="569793C2" w14:textId="3E72794D" w:rsidR="0006017F" w:rsidRPr="005E57B4" w:rsidRDefault="00933FD1" w:rsidP="0073463E">
      <w:pPr>
        <w:spacing w:line="240" w:lineRule="auto"/>
        <w:jc w:val="both"/>
        <w:rPr>
          <w:rFonts w:ascii="Times New Roman" w:hAnsi="Times New Roman" w:cs="Times New Roman"/>
        </w:rPr>
      </w:pPr>
      <w:r w:rsidRPr="005E57B4">
        <w:rPr>
          <w:rFonts w:ascii="Times New Roman" w:hAnsi="Times New Roman" w:cs="Times New Roman"/>
        </w:rPr>
        <w:t>Food production requires energy</w:t>
      </w:r>
      <w:r w:rsidR="00BB457A" w:rsidRPr="005E57B4">
        <w:rPr>
          <w:rFonts w:ascii="Times New Roman" w:hAnsi="Times New Roman" w:cs="Times New Roman"/>
        </w:rPr>
        <w:t xml:space="preserve"> and water in many stages of the food system. The </w:t>
      </w:r>
      <w:r w:rsidR="007F6119" w:rsidRPr="005E57B4">
        <w:rPr>
          <w:rFonts w:ascii="Times New Roman" w:hAnsi="Times New Roman" w:cs="Times New Roman"/>
        </w:rPr>
        <w:t>small-scale</w:t>
      </w:r>
      <w:r w:rsidR="00BB457A" w:rsidRPr="005E57B4">
        <w:rPr>
          <w:rFonts w:ascii="Times New Roman" w:hAnsi="Times New Roman" w:cs="Times New Roman"/>
        </w:rPr>
        <w:t xml:space="preserve"> farmers </w:t>
      </w:r>
      <w:r w:rsidR="00450E87" w:rsidRPr="005E57B4">
        <w:rPr>
          <w:rFonts w:ascii="Times New Roman" w:hAnsi="Times New Roman" w:cs="Times New Roman"/>
        </w:rPr>
        <w:t xml:space="preserve">in the Limpopo River Basin (LRB) </w:t>
      </w:r>
      <w:r w:rsidR="0006017F" w:rsidRPr="005E57B4">
        <w:rPr>
          <w:rFonts w:ascii="Times New Roman" w:hAnsi="Times New Roman" w:cs="Times New Roman"/>
        </w:rPr>
        <w:t>rely on</w:t>
      </w:r>
      <w:r w:rsidR="007F6119" w:rsidRPr="005E57B4">
        <w:rPr>
          <w:rFonts w:ascii="Times New Roman" w:hAnsi="Times New Roman" w:cs="Times New Roman"/>
        </w:rPr>
        <w:t xml:space="preserve"> water from sand rivers for </w:t>
      </w:r>
      <w:r w:rsidR="00903770" w:rsidRPr="005E57B4">
        <w:rPr>
          <w:rFonts w:ascii="Times New Roman" w:hAnsi="Times New Roman" w:cs="Times New Roman"/>
        </w:rPr>
        <w:t>irrigating their fields</w:t>
      </w:r>
      <w:r w:rsidR="005A3609" w:rsidRPr="005E57B4">
        <w:rPr>
          <w:rFonts w:ascii="Times New Roman" w:hAnsi="Times New Roman" w:cs="Times New Roman"/>
        </w:rPr>
        <w:t xml:space="preserve"> </w:t>
      </w:r>
      <w:r w:rsidR="005A3609" w:rsidRPr="005E57B4">
        <w:rPr>
          <w:rFonts w:ascii="Times New Roman" w:hAnsi="Times New Roman" w:cs="Times New Roman"/>
          <w:noProof/>
        </w:rPr>
        <w:t>(Mansell and Hussey, 2005)</w:t>
      </w:r>
      <w:r w:rsidR="007F6119" w:rsidRPr="005E57B4">
        <w:rPr>
          <w:rFonts w:ascii="Times New Roman" w:hAnsi="Times New Roman" w:cs="Times New Roman"/>
        </w:rPr>
        <w:t xml:space="preserve">. </w:t>
      </w:r>
      <w:r w:rsidR="006D2FEC" w:rsidRPr="005E57B4">
        <w:rPr>
          <w:rFonts w:ascii="Times New Roman" w:hAnsi="Times New Roman" w:cs="Times New Roman"/>
        </w:rPr>
        <w:t>S</w:t>
      </w:r>
      <w:r w:rsidR="007170E6" w:rsidRPr="005E57B4">
        <w:rPr>
          <w:rFonts w:ascii="Times New Roman" w:hAnsi="Times New Roman" w:cs="Times New Roman"/>
        </w:rPr>
        <w:t xml:space="preserve">and rivers are ephemeral watercourses containing sand, which </w:t>
      </w:r>
      <w:r w:rsidR="006D2FEC" w:rsidRPr="005E57B4">
        <w:rPr>
          <w:rFonts w:ascii="Times New Roman" w:hAnsi="Times New Roman" w:cs="Times New Roman"/>
        </w:rPr>
        <w:t>flow</w:t>
      </w:r>
      <w:r w:rsidR="007170E6" w:rsidRPr="005E57B4">
        <w:rPr>
          <w:rFonts w:ascii="Times New Roman" w:hAnsi="Times New Roman" w:cs="Times New Roman"/>
        </w:rPr>
        <w:t xml:space="preserve"> once or a few times in a year </w:t>
      </w:r>
      <w:r w:rsidR="007170E6" w:rsidRPr="005E57B4">
        <w:rPr>
          <w:rFonts w:ascii="Times New Roman" w:hAnsi="Times New Roman" w:cs="Times New Roman"/>
          <w:noProof/>
        </w:rPr>
        <w:t>(Mpala et al., 2020)</w:t>
      </w:r>
      <w:r w:rsidR="007170E6" w:rsidRPr="005E57B4">
        <w:rPr>
          <w:rFonts w:ascii="Times New Roman" w:hAnsi="Times New Roman" w:cs="Times New Roman"/>
        </w:rPr>
        <w:t xml:space="preserve">. Although no water flows in the river bed for most of the year, there is perennial groundwater flow within the sand </w:t>
      </w:r>
      <w:r w:rsidR="007170E6" w:rsidRPr="005E57B4">
        <w:rPr>
          <w:rFonts w:ascii="Times New Roman" w:hAnsi="Times New Roman" w:cs="Times New Roman"/>
          <w:noProof/>
        </w:rPr>
        <w:t>(Love et al., 2011)</w:t>
      </w:r>
      <w:r w:rsidR="007170E6" w:rsidRPr="005E57B4">
        <w:rPr>
          <w:rFonts w:ascii="Times New Roman" w:hAnsi="Times New Roman" w:cs="Times New Roman"/>
        </w:rPr>
        <w:t>. They have been used by rural communities for domestic and smallholder crop production purposes for centuries</w:t>
      </w:r>
      <w:r w:rsidR="002364FD" w:rsidRPr="005E57B4">
        <w:rPr>
          <w:rFonts w:ascii="Times New Roman" w:hAnsi="Times New Roman" w:cs="Times New Roman"/>
        </w:rPr>
        <w:t xml:space="preserve">. Recently, farmers have </w:t>
      </w:r>
      <w:r w:rsidR="00DF1FB6">
        <w:rPr>
          <w:rFonts w:ascii="Times New Roman" w:hAnsi="Times New Roman" w:cs="Times New Roman"/>
        </w:rPr>
        <w:t>adapted to</w:t>
      </w:r>
      <w:r w:rsidR="002364FD" w:rsidRPr="005E57B4">
        <w:rPr>
          <w:rFonts w:ascii="Times New Roman" w:hAnsi="Times New Roman" w:cs="Times New Roman"/>
        </w:rPr>
        <w:t xml:space="preserve"> </w:t>
      </w:r>
      <w:r w:rsidR="005A3609" w:rsidRPr="005E57B4">
        <w:rPr>
          <w:rFonts w:ascii="Times New Roman" w:hAnsi="Times New Roman" w:cs="Times New Roman"/>
        </w:rPr>
        <w:t xml:space="preserve">abstract water from sand rivers </w:t>
      </w:r>
      <w:r w:rsidR="00DF1FB6">
        <w:rPr>
          <w:rFonts w:ascii="Times New Roman" w:hAnsi="Times New Roman" w:cs="Times New Roman"/>
        </w:rPr>
        <w:t>using small diesel or petrol pumps allowing small commercial agriculture enterprises to develop. There is a now a shift towards solar powered pumps</w:t>
      </w:r>
      <w:r w:rsidR="00FF591B">
        <w:rPr>
          <w:rFonts w:ascii="Times New Roman" w:hAnsi="Times New Roman" w:cs="Times New Roman"/>
        </w:rPr>
        <w:t>.</w:t>
      </w:r>
    </w:p>
    <w:p w14:paraId="726AE6B5" w14:textId="3949EE9E" w:rsidR="00BB4D4E" w:rsidRDefault="00890D0B" w:rsidP="0073463E">
      <w:pPr>
        <w:spacing w:line="240" w:lineRule="auto"/>
        <w:jc w:val="both"/>
        <w:rPr>
          <w:rFonts w:ascii="Times New Roman" w:hAnsi="Times New Roman" w:cs="Times New Roman"/>
        </w:rPr>
      </w:pPr>
      <w:r w:rsidRPr="005E57B4">
        <w:rPr>
          <w:rFonts w:ascii="Times New Roman" w:hAnsi="Times New Roman" w:cs="Times New Roman"/>
        </w:rPr>
        <w:t xml:space="preserve">In Zimbabwe, particularly in </w:t>
      </w:r>
      <w:r w:rsidR="005A3609" w:rsidRPr="005E57B4">
        <w:rPr>
          <w:rFonts w:ascii="Times New Roman" w:hAnsi="Times New Roman" w:cs="Times New Roman"/>
        </w:rPr>
        <w:t>Limpopo River</w:t>
      </w:r>
      <w:r w:rsidR="00163608" w:rsidRPr="005E57B4">
        <w:rPr>
          <w:rFonts w:ascii="Times New Roman" w:hAnsi="Times New Roman" w:cs="Times New Roman"/>
        </w:rPr>
        <w:t xml:space="preserve"> catchment</w:t>
      </w:r>
      <w:r w:rsidRPr="005E57B4">
        <w:rPr>
          <w:rFonts w:ascii="Times New Roman" w:hAnsi="Times New Roman" w:cs="Times New Roman"/>
        </w:rPr>
        <w:t xml:space="preserve">, sand rivers are acknowledged as a </w:t>
      </w:r>
      <w:r w:rsidR="005A3609" w:rsidRPr="005E57B4">
        <w:rPr>
          <w:rFonts w:ascii="Times New Roman" w:hAnsi="Times New Roman" w:cs="Times New Roman"/>
        </w:rPr>
        <w:t>valuable</w:t>
      </w:r>
      <w:r w:rsidRPr="005E57B4">
        <w:rPr>
          <w:rFonts w:ascii="Times New Roman" w:hAnsi="Times New Roman" w:cs="Times New Roman"/>
        </w:rPr>
        <w:t xml:space="preserve"> source of drinking and irrigation water, although their use </w:t>
      </w:r>
      <w:r w:rsidR="005A3609" w:rsidRPr="005E57B4">
        <w:rPr>
          <w:rFonts w:ascii="Times New Roman" w:hAnsi="Times New Roman" w:cs="Times New Roman"/>
        </w:rPr>
        <w:t>in commercial agriculture is still in a rudimentary phase</w:t>
      </w:r>
      <w:r w:rsidR="004C5A1E" w:rsidRPr="005E57B4">
        <w:rPr>
          <w:rFonts w:ascii="Times New Roman" w:hAnsi="Times New Roman" w:cs="Times New Roman"/>
        </w:rPr>
        <w:t xml:space="preserve"> </w:t>
      </w:r>
      <w:r w:rsidR="007170E6" w:rsidRPr="005E57B4">
        <w:rPr>
          <w:rFonts w:ascii="Times New Roman" w:hAnsi="Times New Roman" w:cs="Times New Roman"/>
          <w:noProof/>
        </w:rPr>
        <w:t>(Duker et al., 2020a)</w:t>
      </w:r>
      <w:r w:rsidRPr="005E57B4">
        <w:rPr>
          <w:rFonts w:ascii="Times New Roman" w:hAnsi="Times New Roman" w:cs="Times New Roman"/>
        </w:rPr>
        <w:t xml:space="preserve">. </w:t>
      </w:r>
      <w:r w:rsidR="00DF1FB6">
        <w:rPr>
          <w:rFonts w:ascii="Times New Roman" w:hAnsi="Times New Roman" w:cs="Times New Roman"/>
        </w:rPr>
        <w:t>In the</w:t>
      </w:r>
      <w:r w:rsidR="00FF591B">
        <w:rPr>
          <w:rFonts w:ascii="Times New Roman" w:hAnsi="Times New Roman" w:cs="Times New Roman"/>
        </w:rPr>
        <w:t xml:space="preserve"> </w:t>
      </w:r>
      <w:proofErr w:type="spellStart"/>
      <w:r w:rsidR="001A621E" w:rsidRPr="005E57B4">
        <w:rPr>
          <w:rFonts w:ascii="Times New Roman" w:hAnsi="Times New Roman" w:cs="Times New Roman"/>
        </w:rPr>
        <w:t>Tsheyalenyemba</w:t>
      </w:r>
      <w:proofErr w:type="spellEnd"/>
      <w:r w:rsidR="00D63827" w:rsidRPr="005E57B4">
        <w:rPr>
          <w:rFonts w:ascii="Times New Roman" w:hAnsi="Times New Roman" w:cs="Times New Roman"/>
        </w:rPr>
        <w:t xml:space="preserve"> area</w:t>
      </w:r>
      <w:r w:rsidR="00DF1FB6">
        <w:rPr>
          <w:rFonts w:ascii="Times New Roman" w:hAnsi="Times New Roman" w:cs="Times New Roman"/>
        </w:rPr>
        <w:t xml:space="preserve"> </w:t>
      </w:r>
      <w:r w:rsidR="00FF591B">
        <w:rPr>
          <w:rFonts w:ascii="Times New Roman" w:hAnsi="Times New Roman" w:cs="Times New Roman"/>
        </w:rPr>
        <w:t>(</w:t>
      </w:r>
      <w:r w:rsidR="00FF591B" w:rsidRPr="005E57B4">
        <w:rPr>
          <w:rFonts w:ascii="Times New Roman" w:hAnsi="Times New Roman" w:cs="Times New Roman"/>
        </w:rPr>
        <w:t xml:space="preserve">Figure </w:t>
      </w:r>
      <w:r w:rsidR="00FF591B">
        <w:rPr>
          <w:rFonts w:ascii="Times New Roman" w:hAnsi="Times New Roman" w:cs="Times New Roman"/>
          <w:noProof/>
        </w:rPr>
        <w:t>1</w:t>
      </w:r>
      <w:r w:rsidR="00FF591B">
        <w:rPr>
          <w:rFonts w:ascii="Times New Roman" w:hAnsi="Times New Roman" w:cs="Times New Roman"/>
        </w:rPr>
        <w:t>)</w:t>
      </w:r>
      <w:r w:rsidR="00D63827" w:rsidRPr="005E57B4">
        <w:rPr>
          <w:rFonts w:ascii="Times New Roman" w:hAnsi="Times New Roman" w:cs="Times New Roman"/>
        </w:rPr>
        <w:t xml:space="preserve">, smallholder farmers, mostly informal, depend on water from sand rivers for crop irrigation. </w:t>
      </w:r>
      <w:r w:rsidR="00101F7F" w:rsidRPr="005E57B4">
        <w:rPr>
          <w:rFonts w:ascii="Times New Roman" w:hAnsi="Times New Roman" w:cs="Times New Roman"/>
        </w:rPr>
        <w:t xml:space="preserve">The sand abstraction water supply systems </w:t>
      </w:r>
      <w:r w:rsidR="004B2520" w:rsidRPr="005E57B4">
        <w:rPr>
          <w:rFonts w:ascii="Times New Roman" w:hAnsi="Times New Roman" w:cs="Times New Roman"/>
        </w:rPr>
        <w:t xml:space="preserve">in the </w:t>
      </w:r>
      <w:r w:rsidR="001A621E" w:rsidRPr="005E57B4">
        <w:rPr>
          <w:rFonts w:ascii="Times New Roman" w:hAnsi="Times New Roman" w:cs="Times New Roman"/>
        </w:rPr>
        <w:t>Tsheyalenyemba</w:t>
      </w:r>
      <w:r w:rsidR="004B2520" w:rsidRPr="005E57B4">
        <w:rPr>
          <w:rFonts w:ascii="Times New Roman" w:hAnsi="Times New Roman" w:cs="Times New Roman"/>
        </w:rPr>
        <w:t xml:space="preserve"> area </w:t>
      </w:r>
      <w:r w:rsidR="007A4645" w:rsidRPr="005E57B4">
        <w:rPr>
          <w:rFonts w:ascii="Times New Roman" w:hAnsi="Times New Roman" w:cs="Times New Roman"/>
        </w:rPr>
        <w:t>have</w:t>
      </w:r>
      <w:r w:rsidR="00101F7F" w:rsidRPr="005E57B4">
        <w:rPr>
          <w:rFonts w:ascii="Times New Roman" w:hAnsi="Times New Roman" w:cs="Times New Roman"/>
        </w:rPr>
        <w:t xml:space="preserve"> water of reasonable quality and can adequately meet the per</w:t>
      </w:r>
      <w:r w:rsidR="007A4645" w:rsidRPr="005E57B4">
        <w:rPr>
          <w:rFonts w:ascii="Times New Roman" w:hAnsi="Times New Roman" w:cs="Times New Roman"/>
        </w:rPr>
        <w:t xml:space="preserve"> </w:t>
      </w:r>
      <w:r w:rsidR="00101F7F" w:rsidRPr="005E57B4">
        <w:rPr>
          <w:rFonts w:ascii="Times New Roman" w:hAnsi="Times New Roman" w:cs="Times New Roman"/>
        </w:rPr>
        <w:t xml:space="preserve">capita human daily water requirements of the </w:t>
      </w:r>
      <w:r w:rsidR="00DF1FB6">
        <w:rPr>
          <w:rFonts w:ascii="Times New Roman" w:hAnsi="Times New Roman" w:cs="Times New Roman"/>
        </w:rPr>
        <w:t>smallholder</w:t>
      </w:r>
      <w:r w:rsidR="007A4645" w:rsidRPr="005E57B4">
        <w:rPr>
          <w:rFonts w:ascii="Times New Roman" w:hAnsi="Times New Roman" w:cs="Times New Roman"/>
        </w:rPr>
        <w:t xml:space="preserve"> farmers. </w:t>
      </w:r>
      <w:r w:rsidR="00DF1FB6">
        <w:rPr>
          <w:rFonts w:ascii="Times New Roman" w:hAnsi="Times New Roman" w:cs="Times New Roman"/>
        </w:rPr>
        <w:t>Although</w:t>
      </w:r>
      <w:r w:rsidR="00DF1FB6" w:rsidRPr="005E57B4">
        <w:rPr>
          <w:rFonts w:ascii="Times New Roman" w:hAnsi="Times New Roman" w:cs="Times New Roman"/>
        </w:rPr>
        <w:t xml:space="preserve"> </w:t>
      </w:r>
      <w:r w:rsidR="00A85405" w:rsidRPr="005E57B4">
        <w:rPr>
          <w:rFonts w:ascii="Times New Roman" w:hAnsi="Times New Roman" w:cs="Times New Roman"/>
        </w:rPr>
        <w:t>manual installation of well points in or close to the river bed is straightforward and feasible</w:t>
      </w:r>
      <w:r w:rsidR="00DF1FB6">
        <w:rPr>
          <w:rFonts w:ascii="Times New Roman" w:hAnsi="Times New Roman" w:cs="Times New Roman"/>
        </w:rPr>
        <w:t xml:space="preserve">, extracting this water has some </w:t>
      </w:r>
      <w:r w:rsidR="00C92F73">
        <w:rPr>
          <w:rFonts w:ascii="Times New Roman" w:hAnsi="Times New Roman" w:cs="Times New Roman"/>
        </w:rPr>
        <w:t>challenges</w:t>
      </w:r>
      <w:r w:rsidR="00BB4D4E" w:rsidRPr="005E57B4">
        <w:rPr>
          <w:rFonts w:ascii="Times New Roman" w:hAnsi="Times New Roman" w:cs="Times New Roman"/>
        </w:rPr>
        <w:t xml:space="preserve">. The farmers need to invest in technology and mobilise energy, which </w:t>
      </w:r>
      <w:r w:rsidR="00DF1FB6" w:rsidRPr="005E57B4">
        <w:rPr>
          <w:rFonts w:ascii="Times New Roman" w:hAnsi="Times New Roman" w:cs="Times New Roman"/>
        </w:rPr>
        <w:t>ha</w:t>
      </w:r>
      <w:r w:rsidR="00DF1FB6">
        <w:rPr>
          <w:rFonts w:ascii="Times New Roman" w:hAnsi="Times New Roman" w:cs="Times New Roman"/>
        </w:rPr>
        <w:t>s</w:t>
      </w:r>
      <w:r w:rsidR="00DF1FB6" w:rsidRPr="005E57B4">
        <w:rPr>
          <w:rFonts w:ascii="Times New Roman" w:hAnsi="Times New Roman" w:cs="Times New Roman"/>
        </w:rPr>
        <w:t xml:space="preserve"> </w:t>
      </w:r>
      <w:r w:rsidR="00BB4D4E" w:rsidRPr="005E57B4">
        <w:rPr>
          <w:rFonts w:ascii="Times New Roman" w:hAnsi="Times New Roman" w:cs="Times New Roman"/>
        </w:rPr>
        <w:t xml:space="preserve">been found extremely hard in this economically marginalised region in a country that has been hit by economic crisis for </w:t>
      </w:r>
      <w:r w:rsidR="00DF1FB6">
        <w:rPr>
          <w:rFonts w:ascii="Times New Roman" w:hAnsi="Times New Roman" w:cs="Times New Roman"/>
        </w:rPr>
        <w:t>several</w:t>
      </w:r>
      <w:r w:rsidR="004B2520" w:rsidRPr="005E57B4">
        <w:rPr>
          <w:rFonts w:ascii="Times New Roman" w:hAnsi="Times New Roman" w:cs="Times New Roman"/>
        </w:rPr>
        <w:t xml:space="preserve"> </w:t>
      </w:r>
      <w:r w:rsidR="008D4BEE" w:rsidRPr="005E57B4">
        <w:rPr>
          <w:rFonts w:ascii="Times New Roman" w:hAnsi="Times New Roman" w:cs="Times New Roman"/>
        </w:rPr>
        <w:t>decades.</w:t>
      </w:r>
      <w:r w:rsidR="00BB4D4E" w:rsidRPr="005E57B4">
        <w:rPr>
          <w:rFonts w:ascii="Times New Roman" w:hAnsi="Times New Roman" w:cs="Times New Roman"/>
        </w:rPr>
        <w:t xml:space="preserve"> </w:t>
      </w:r>
      <w:r w:rsidR="00DF1FB6">
        <w:rPr>
          <w:rFonts w:ascii="Times New Roman" w:hAnsi="Times New Roman" w:cs="Times New Roman"/>
        </w:rPr>
        <w:t>However</w:t>
      </w:r>
      <w:r w:rsidR="00E01845" w:rsidRPr="005E57B4">
        <w:rPr>
          <w:rFonts w:ascii="Times New Roman" w:hAnsi="Times New Roman" w:cs="Times New Roman"/>
        </w:rPr>
        <w:t xml:space="preserve">, these farmers have strong adaptive capacity </w:t>
      </w:r>
      <w:r w:rsidR="00DF1FB6">
        <w:rPr>
          <w:rFonts w:ascii="Times New Roman" w:hAnsi="Times New Roman" w:cs="Times New Roman"/>
        </w:rPr>
        <w:t>and are withstanding these</w:t>
      </w:r>
      <w:r w:rsidR="00E01845" w:rsidRPr="005E57B4">
        <w:rPr>
          <w:rFonts w:ascii="Times New Roman" w:hAnsi="Times New Roman" w:cs="Times New Roman"/>
        </w:rPr>
        <w:t xml:space="preserve"> socio-economic and climatic shocks</w:t>
      </w:r>
      <w:r w:rsidR="00DF1FB6">
        <w:rPr>
          <w:rFonts w:ascii="Times New Roman" w:hAnsi="Times New Roman" w:cs="Times New Roman"/>
        </w:rPr>
        <w:t xml:space="preserve"> through different strategies</w:t>
      </w:r>
      <w:r w:rsidR="00E01845" w:rsidRPr="005E57B4">
        <w:rPr>
          <w:rFonts w:ascii="Times New Roman" w:hAnsi="Times New Roman" w:cs="Times New Roman"/>
        </w:rPr>
        <w:t xml:space="preserve">. </w:t>
      </w:r>
      <w:r w:rsidR="00DF1FB6">
        <w:rPr>
          <w:rFonts w:ascii="Times New Roman" w:hAnsi="Times New Roman" w:cs="Times New Roman"/>
        </w:rPr>
        <w:t>One of these is that f</w:t>
      </w:r>
      <w:r w:rsidR="00546B0D" w:rsidRPr="005E57B4">
        <w:rPr>
          <w:rFonts w:ascii="Times New Roman" w:hAnsi="Times New Roman" w:cs="Times New Roman"/>
        </w:rPr>
        <w:t xml:space="preserve">armers </w:t>
      </w:r>
      <w:r w:rsidR="00BB4D4E" w:rsidRPr="005E57B4">
        <w:rPr>
          <w:rFonts w:ascii="Times New Roman" w:hAnsi="Times New Roman" w:cs="Times New Roman"/>
        </w:rPr>
        <w:t xml:space="preserve">in this </w:t>
      </w:r>
      <w:r w:rsidR="00DF1FB6">
        <w:rPr>
          <w:rFonts w:ascii="Times New Roman" w:hAnsi="Times New Roman" w:cs="Times New Roman"/>
        </w:rPr>
        <w:t xml:space="preserve">area </w:t>
      </w:r>
      <w:r w:rsidR="00E01845" w:rsidRPr="005E57B4">
        <w:rPr>
          <w:rFonts w:ascii="Times New Roman" w:hAnsi="Times New Roman" w:cs="Times New Roman"/>
        </w:rPr>
        <w:t xml:space="preserve">are </w:t>
      </w:r>
      <w:r w:rsidR="00DF1FB6">
        <w:rPr>
          <w:rFonts w:ascii="Times New Roman" w:hAnsi="Times New Roman" w:cs="Times New Roman"/>
        </w:rPr>
        <w:t xml:space="preserve">now </w:t>
      </w:r>
      <w:r w:rsidR="00D63827" w:rsidRPr="005E57B4">
        <w:rPr>
          <w:rFonts w:ascii="Times New Roman" w:hAnsi="Times New Roman" w:cs="Times New Roman"/>
        </w:rPr>
        <w:t>us</w:t>
      </w:r>
      <w:r w:rsidR="00E01845" w:rsidRPr="005E57B4">
        <w:rPr>
          <w:rFonts w:ascii="Times New Roman" w:hAnsi="Times New Roman" w:cs="Times New Roman"/>
        </w:rPr>
        <w:t>ing</w:t>
      </w:r>
      <w:r w:rsidR="00D63827" w:rsidRPr="005E57B4">
        <w:rPr>
          <w:rFonts w:ascii="Times New Roman" w:hAnsi="Times New Roman" w:cs="Times New Roman"/>
        </w:rPr>
        <w:t xml:space="preserve"> solar energy</w:t>
      </w:r>
      <w:r w:rsidR="00546B0D" w:rsidRPr="005E57B4">
        <w:rPr>
          <w:rFonts w:ascii="Times New Roman" w:hAnsi="Times New Roman" w:cs="Times New Roman"/>
        </w:rPr>
        <w:t xml:space="preserve"> powered</w:t>
      </w:r>
      <w:r w:rsidR="00D63827" w:rsidRPr="005E57B4">
        <w:rPr>
          <w:rFonts w:ascii="Times New Roman" w:hAnsi="Times New Roman" w:cs="Times New Roman"/>
        </w:rPr>
        <w:t xml:space="preserve"> pumps</w:t>
      </w:r>
      <w:r w:rsidR="00BB4D4E" w:rsidRPr="005E57B4">
        <w:rPr>
          <w:rFonts w:ascii="Times New Roman" w:hAnsi="Times New Roman" w:cs="Times New Roman"/>
        </w:rPr>
        <w:t xml:space="preserve"> to abstract water from sand rivers</w:t>
      </w:r>
      <w:r w:rsidR="00D63827" w:rsidRPr="005E57B4">
        <w:rPr>
          <w:rFonts w:ascii="Times New Roman" w:hAnsi="Times New Roman" w:cs="Times New Roman"/>
        </w:rPr>
        <w:t>.</w:t>
      </w:r>
      <w:r w:rsidR="00546B0D" w:rsidRPr="005E57B4">
        <w:rPr>
          <w:rFonts w:ascii="Times New Roman" w:hAnsi="Times New Roman" w:cs="Times New Roman"/>
        </w:rPr>
        <w:t xml:space="preserve"> </w:t>
      </w:r>
    </w:p>
    <w:p w14:paraId="66B19FE2" w14:textId="4FFECE16" w:rsidR="00C92F73" w:rsidRPr="005E57B4" w:rsidRDefault="00C92F73" w:rsidP="0073463E">
      <w:pPr>
        <w:spacing w:line="240" w:lineRule="auto"/>
        <w:jc w:val="both"/>
        <w:rPr>
          <w:rFonts w:ascii="Times New Roman" w:hAnsi="Times New Roman" w:cs="Times New Roman"/>
        </w:rPr>
      </w:pPr>
      <w:r w:rsidRPr="00C92F73">
        <w:rPr>
          <w:rFonts w:ascii="Times New Roman" w:hAnsi="Times New Roman" w:cs="Times New Roman"/>
        </w:rPr>
        <w:t>The main aim of the Limpopo river basin cas</w:t>
      </w:r>
      <w:r>
        <w:rPr>
          <w:rFonts w:ascii="Times New Roman" w:hAnsi="Times New Roman" w:cs="Times New Roman"/>
        </w:rPr>
        <w:t>e</w:t>
      </w:r>
      <w:r w:rsidRPr="00C92F73">
        <w:rPr>
          <w:rFonts w:ascii="Times New Roman" w:hAnsi="Times New Roman" w:cs="Times New Roman"/>
        </w:rPr>
        <w:t xml:space="preserve"> study is to reduce poverty, improve human livelihoods by irrigating crops using water from sand rivers. Farmers are moving from the rainfed croplands to the irrigation schemes where they can have different sources of livelihoods including fishing, crop production and livestock keeping. This is having a positive impact on socio-economic development and the quality of life thanks to the possibility of increasing income and employment. Although this migration is having benefits for the basin`s population, there are also important trade-offs to consider.</w:t>
      </w:r>
    </w:p>
    <w:p w14:paraId="33D882B4" w14:textId="77777777" w:rsidR="00F1396A" w:rsidRPr="00117911" w:rsidRDefault="00F1396A" w:rsidP="00B610D8">
      <w:pPr>
        <w:spacing w:line="360" w:lineRule="auto"/>
        <w:jc w:val="both"/>
        <w:rPr>
          <w:rFonts w:ascii="Times New Roman" w:eastAsiaTheme="majorEastAsia" w:hAnsi="Times New Roman" w:cs="Times New Roman"/>
          <w:color w:val="2F5496" w:themeColor="accent1" w:themeShade="BF"/>
          <w:sz w:val="32"/>
          <w:szCs w:val="32"/>
        </w:rPr>
      </w:pPr>
      <w:r w:rsidRPr="00117911">
        <w:rPr>
          <w:rFonts w:ascii="Times New Roman" w:eastAsiaTheme="majorEastAsia" w:hAnsi="Times New Roman" w:cs="Times New Roman"/>
          <w:color w:val="2F5496" w:themeColor="accent1" w:themeShade="BF"/>
          <w:sz w:val="32"/>
          <w:szCs w:val="32"/>
        </w:rPr>
        <w:t xml:space="preserve">Case study description </w:t>
      </w:r>
    </w:p>
    <w:p w14:paraId="7F450F77" w14:textId="21B7D3BC" w:rsidR="00E8564A" w:rsidRPr="005E57B4" w:rsidRDefault="00E8564A" w:rsidP="0073463E">
      <w:pPr>
        <w:spacing w:line="240" w:lineRule="auto"/>
        <w:jc w:val="both"/>
        <w:rPr>
          <w:rFonts w:ascii="Times New Roman" w:hAnsi="Times New Roman" w:cs="Times New Roman"/>
        </w:rPr>
      </w:pPr>
      <w:r w:rsidRPr="005E57B4">
        <w:rPr>
          <w:rFonts w:ascii="Times New Roman" w:hAnsi="Times New Roman" w:cs="Times New Roman"/>
        </w:rPr>
        <w:t xml:space="preserve">The LRB covers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and </w:t>
      </w:r>
      <w:proofErr w:type="spellStart"/>
      <w:r w:rsidRPr="005E57B4">
        <w:rPr>
          <w:rFonts w:ascii="Times New Roman" w:hAnsi="Times New Roman" w:cs="Times New Roman"/>
        </w:rPr>
        <w:t>Shashani</w:t>
      </w:r>
      <w:proofErr w:type="spellEnd"/>
      <w:r w:rsidRPr="005E57B4">
        <w:rPr>
          <w:rFonts w:ascii="Times New Roman" w:hAnsi="Times New Roman" w:cs="Times New Roman"/>
        </w:rPr>
        <w:t xml:space="preserve"> rivers, both located in the Matabeleland South Province o</w:t>
      </w:r>
      <w:r w:rsidR="009D1DCB" w:rsidRPr="005E57B4">
        <w:rPr>
          <w:rFonts w:ascii="Times New Roman" w:hAnsi="Times New Roman" w:cs="Times New Roman"/>
        </w:rPr>
        <w:t>n</w:t>
      </w:r>
      <w:r w:rsidRPr="005E57B4">
        <w:rPr>
          <w:rFonts w:ascii="Times New Roman" w:hAnsi="Times New Roman" w:cs="Times New Roman"/>
        </w:rPr>
        <w:t xml:space="preserve"> southwestern Zimbabwe (</w:t>
      </w:r>
      <w:r w:rsidR="00DF5FF6" w:rsidRPr="005E57B4">
        <w:rPr>
          <w:rFonts w:ascii="Times New Roman" w:hAnsi="Times New Roman" w:cs="Times New Roman"/>
        </w:rPr>
        <w:t xml:space="preserve">Figure </w:t>
      </w:r>
      <w:r w:rsidR="00DF5FF6">
        <w:rPr>
          <w:rFonts w:ascii="Times New Roman" w:hAnsi="Times New Roman" w:cs="Times New Roman"/>
          <w:noProof/>
        </w:rPr>
        <w:t>1</w:t>
      </w:r>
      <w:r w:rsidRPr="005E57B4">
        <w:rPr>
          <w:rFonts w:ascii="Times New Roman" w:hAnsi="Times New Roman" w:cs="Times New Roman"/>
        </w:rPr>
        <w:t>). The two rivers were chosen as they are currently sustaining small-</w:t>
      </w:r>
      <w:r w:rsidRPr="005E57B4">
        <w:rPr>
          <w:rFonts w:ascii="Times New Roman" w:hAnsi="Times New Roman" w:cs="Times New Roman"/>
        </w:rPr>
        <w:lastRenderedPageBreak/>
        <w:t xml:space="preserve">scale sand water abstraction systems installed by </w:t>
      </w:r>
      <w:r w:rsidR="00582B7D">
        <w:rPr>
          <w:rFonts w:ascii="Times New Roman" w:hAnsi="Times New Roman" w:cs="Times New Roman"/>
        </w:rPr>
        <w:t xml:space="preserve">an NGO i.e. </w:t>
      </w:r>
      <w:r w:rsidRPr="005E57B4">
        <w:rPr>
          <w:rFonts w:ascii="Times New Roman" w:hAnsi="Times New Roman" w:cs="Times New Roman"/>
        </w:rPr>
        <w:t xml:space="preserve">the Dabane Trust.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is a major left-bank tributary of the Limpopo River in Zimbabwe and flows into the Limpopo River where Botswana, Zimbabwe and South Africa meet. The river flows in both Zimbabwe and Botswana; it is 330 km long from its source to mouth, 210 km of which are in Zimbabwe and 120 km in Botswana, and its total catchment area is 24,585 km</w:t>
      </w:r>
      <w:r w:rsidRPr="005E57B4">
        <w:rPr>
          <w:rFonts w:ascii="Times New Roman" w:hAnsi="Times New Roman" w:cs="Times New Roman"/>
          <w:vertAlign w:val="superscript"/>
        </w:rPr>
        <w:t>2</w:t>
      </w:r>
      <w:r w:rsidRPr="005E57B4">
        <w:rPr>
          <w:rFonts w:ascii="Times New Roman" w:hAnsi="Times New Roman" w:cs="Times New Roman"/>
        </w:rPr>
        <w:t xml:space="preserve">. The Shashani River is a major tributary of the </w:t>
      </w:r>
      <w:proofErr w:type="spellStart"/>
      <w:r w:rsidRPr="005E57B4">
        <w:rPr>
          <w:rFonts w:ascii="Times New Roman" w:hAnsi="Times New Roman" w:cs="Times New Roman"/>
        </w:rPr>
        <w:t>Shashe</w:t>
      </w:r>
      <w:proofErr w:type="spellEnd"/>
      <w:r w:rsidRPr="005E57B4">
        <w:rPr>
          <w:rFonts w:ascii="Times New Roman" w:hAnsi="Times New Roman" w:cs="Times New Roman"/>
        </w:rPr>
        <w:t xml:space="preserve"> River. It flows for about 206 km and is dammed at two locations. </w:t>
      </w:r>
    </w:p>
    <w:p w14:paraId="3EC2937B" w14:textId="0E9298A0" w:rsidR="001F20C9" w:rsidRDefault="00A13B04" w:rsidP="0073463E">
      <w:pPr>
        <w:spacing w:line="240" w:lineRule="auto"/>
        <w:jc w:val="both"/>
        <w:rPr>
          <w:rFonts w:ascii="Times New Roman" w:hAnsi="Times New Roman" w:cs="Times New Roman"/>
        </w:rPr>
      </w:pPr>
      <w:r w:rsidRPr="005E57B4">
        <w:rPr>
          <w:rFonts w:ascii="Times New Roman" w:hAnsi="Times New Roman" w:cs="Times New Roman"/>
        </w:rPr>
        <w:t xml:space="preserve">Recently the basin has started practicing small scale (0.1 – 1 ha) commercial agriculture using water from the sand rivers. </w:t>
      </w:r>
      <w:r w:rsidR="003447C4" w:rsidRPr="005E57B4">
        <w:rPr>
          <w:rFonts w:ascii="Times New Roman" w:hAnsi="Times New Roman" w:cs="Times New Roman"/>
        </w:rPr>
        <w:t xml:space="preserve">A significant number of </w:t>
      </w:r>
      <w:r w:rsidR="00907BCA" w:rsidRPr="005E57B4">
        <w:rPr>
          <w:rFonts w:ascii="Times New Roman" w:hAnsi="Times New Roman" w:cs="Times New Roman"/>
        </w:rPr>
        <w:t xml:space="preserve">families </w:t>
      </w:r>
      <w:r w:rsidR="004A0143" w:rsidRPr="005E57B4">
        <w:rPr>
          <w:rFonts w:ascii="Times New Roman" w:hAnsi="Times New Roman" w:cs="Times New Roman"/>
        </w:rPr>
        <w:t>live</w:t>
      </w:r>
      <w:r w:rsidR="00907BCA" w:rsidRPr="005E57B4">
        <w:rPr>
          <w:rFonts w:ascii="Times New Roman" w:hAnsi="Times New Roman" w:cs="Times New Roman"/>
        </w:rPr>
        <w:t xml:space="preserve"> in the basin</w:t>
      </w:r>
      <w:r w:rsidR="004A0143" w:rsidRPr="005E57B4">
        <w:rPr>
          <w:rFonts w:ascii="Times New Roman" w:hAnsi="Times New Roman" w:cs="Times New Roman"/>
        </w:rPr>
        <w:t xml:space="preserve"> and are largely responsible for their own economic and social sustainability</w:t>
      </w:r>
      <w:r w:rsidR="00907BCA" w:rsidRPr="005E57B4">
        <w:rPr>
          <w:rFonts w:ascii="Times New Roman" w:hAnsi="Times New Roman" w:cs="Times New Roman"/>
        </w:rPr>
        <w:t xml:space="preserve">. </w:t>
      </w:r>
      <w:r w:rsidR="00C916C7" w:rsidRPr="005E57B4">
        <w:rPr>
          <w:rFonts w:ascii="Times New Roman" w:hAnsi="Times New Roman" w:cs="Times New Roman"/>
        </w:rPr>
        <w:t>Currently</w:t>
      </w:r>
      <w:r w:rsidR="00907BCA" w:rsidRPr="005E57B4">
        <w:rPr>
          <w:rFonts w:ascii="Times New Roman" w:hAnsi="Times New Roman" w:cs="Times New Roman"/>
        </w:rPr>
        <w:t xml:space="preserve">, the basin is facing rapid emigration </w:t>
      </w:r>
      <w:r w:rsidR="001F20C9" w:rsidRPr="005E57B4">
        <w:rPr>
          <w:rFonts w:ascii="Times New Roman" w:hAnsi="Times New Roman" w:cs="Times New Roman"/>
        </w:rPr>
        <w:t>of m</w:t>
      </w:r>
      <w:r w:rsidR="000E7AAF" w:rsidRPr="005E57B4">
        <w:rPr>
          <w:rFonts w:ascii="Times New Roman" w:hAnsi="Times New Roman" w:cs="Times New Roman"/>
        </w:rPr>
        <w:t>e</w:t>
      </w:r>
      <w:r w:rsidR="001F20C9" w:rsidRPr="005E57B4">
        <w:rPr>
          <w:rFonts w:ascii="Times New Roman" w:hAnsi="Times New Roman" w:cs="Times New Roman"/>
        </w:rPr>
        <w:t>n</w:t>
      </w:r>
      <w:r w:rsidR="00DC0BC0" w:rsidRPr="005E57B4">
        <w:rPr>
          <w:rFonts w:ascii="Times New Roman" w:hAnsi="Times New Roman" w:cs="Times New Roman"/>
        </w:rPr>
        <w:t xml:space="preserve"> in the age group of</w:t>
      </w:r>
      <w:r w:rsidR="000E7AAF" w:rsidRPr="005E57B4">
        <w:rPr>
          <w:rFonts w:ascii="Times New Roman" w:hAnsi="Times New Roman" w:cs="Times New Roman"/>
        </w:rPr>
        <w:t xml:space="preserve"> between </w:t>
      </w:r>
      <w:r w:rsidR="00DC0BC0" w:rsidRPr="005E57B4">
        <w:rPr>
          <w:rFonts w:ascii="Times New Roman" w:hAnsi="Times New Roman" w:cs="Times New Roman"/>
        </w:rPr>
        <w:t>2</w:t>
      </w:r>
      <w:r w:rsidR="009F6F30">
        <w:rPr>
          <w:rFonts w:ascii="Times New Roman" w:hAnsi="Times New Roman" w:cs="Times New Roman"/>
        </w:rPr>
        <w:t>0</w:t>
      </w:r>
      <w:r w:rsidR="000E7AAF" w:rsidRPr="005E57B4">
        <w:rPr>
          <w:rFonts w:ascii="Times New Roman" w:hAnsi="Times New Roman" w:cs="Times New Roman"/>
        </w:rPr>
        <w:t xml:space="preserve"> and</w:t>
      </w:r>
      <w:r w:rsidR="00DC0BC0" w:rsidRPr="005E57B4">
        <w:rPr>
          <w:rFonts w:ascii="Times New Roman" w:hAnsi="Times New Roman" w:cs="Times New Roman"/>
        </w:rPr>
        <w:t xml:space="preserve"> 45 years to South Africa and Botswana. </w:t>
      </w:r>
      <w:r w:rsidR="000E7AAF" w:rsidRPr="005E57B4">
        <w:rPr>
          <w:rFonts w:ascii="Times New Roman" w:hAnsi="Times New Roman" w:cs="Times New Roman"/>
        </w:rPr>
        <w:t>Women and children are left behind</w:t>
      </w:r>
      <w:r w:rsidR="00851D64" w:rsidRPr="005E57B4">
        <w:rPr>
          <w:rFonts w:ascii="Times New Roman" w:hAnsi="Times New Roman" w:cs="Times New Roman"/>
        </w:rPr>
        <w:t xml:space="preserve">. Small holder irrigation using the water from sand rivers can boost their livelihoods. </w:t>
      </w:r>
    </w:p>
    <w:p w14:paraId="41F899BC" w14:textId="62E10F84" w:rsidR="009F6F30" w:rsidRDefault="009F6F30" w:rsidP="0073463E">
      <w:pPr>
        <w:spacing w:line="240" w:lineRule="auto"/>
        <w:jc w:val="both"/>
        <w:rPr>
          <w:rFonts w:ascii="Times New Roman" w:hAnsi="Times New Roman" w:cs="Times New Roman"/>
        </w:rPr>
      </w:pPr>
      <w:r w:rsidRPr="009F6F30">
        <w:rPr>
          <w:rFonts w:ascii="Times New Roman" w:hAnsi="Times New Roman" w:cs="Times New Roman"/>
        </w:rPr>
        <w:t xml:space="preserve">Some of the expected outcomes upon successful execution of the </w:t>
      </w:r>
      <w:r>
        <w:rPr>
          <w:rFonts w:ascii="Times New Roman" w:hAnsi="Times New Roman" w:cs="Times New Roman"/>
        </w:rPr>
        <w:t>LRB</w:t>
      </w:r>
      <w:r w:rsidRPr="009F6F30">
        <w:rPr>
          <w:rFonts w:ascii="Times New Roman" w:hAnsi="Times New Roman" w:cs="Times New Roman"/>
        </w:rPr>
        <w:t xml:space="preserve"> are:</w:t>
      </w:r>
    </w:p>
    <w:p w14:paraId="21C5CE91" w14:textId="65B6461B"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Increased </w:t>
      </w:r>
      <w:r w:rsidRPr="007C4E02">
        <w:rPr>
          <w:rFonts w:ascii="Times New Roman" w:hAnsi="Times New Roman" w:cs="Times New Roman"/>
        </w:rPr>
        <w:t>water availability and accessibility</w:t>
      </w:r>
      <w:r w:rsidRPr="007C4E02">
        <w:rPr>
          <w:rFonts w:ascii="Times New Roman" w:hAnsi="Times New Roman" w:cs="Times New Roman"/>
        </w:rPr>
        <w:t xml:space="preserve"> production to facilitate the development of Small and Medium </w:t>
      </w:r>
      <w:r w:rsidR="008D64B8" w:rsidRPr="007C4E02">
        <w:rPr>
          <w:rFonts w:ascii="Times New Roman" w:hAnsi="Times New Roman" w:cs="Times New Roman"/>
        </w:rPr>
        <w:t>farmers</w:t>
      </w:r>
      <w:r w:rsidRPr="007C4E02">
        <w:rPr>
          <w:rFonts w:ascii="Times New Roman" w:hAnsi="Times New Roman" w:cs="Times New Roman"/>
        </w:rPr>
        <w:t xml:space="preserve"> and improve </w:t>
      </w:r>
      <w:r w:rsidR="008D64B8" w:rsidRPr="007C4E02">
        <w:rPr>
          <w:rFonts w:ascii="Times New Roman" w:hAnsi="Times New Roman" w:cs="Times New Roman"/>
        </w:rPr>
        <w:t xml:space="preserve">food production and livelihoods </w:t>
      </w:r>
      <w:r w:rsidRPr="007C4E02">
        <w:rPr>
          <w:rFonts w:ascii="Times New Roman" w:hAnsi="Times New Roman" w:cs="Times New Roman"/>
        </w:rPr>
        <w:t>in the basin;</w:t>
      </w:r>
    </w:p>
    <w:p w14:paraId="3C92474D" w14:textId="165EEF4E"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Increased food production through irrigated agriculture (a benefit for </w:t>
      </w:r>
      <w:r w:rsidR="008D64B8" w:rsidRPr="007C4E02">
        <w:rPr>
          <w:rFonts w:ascii="Times New Roman" w:hAnsi="Times New Roman" w:cs="Times New Roman"/>
        </w:rPr>
        <w:t xml:space="preserve">at least </w:t>
      </w:r>
      <w:r w:rsidR="00D94A6E" w:rsidRPr="007C4E02">
        <w:rPr>
          <w:rFonts w:ascii="Times New Roman" w:hAnsi="Times New Roman" w:cs="Times New Roman"/>
        </w:rPr>
        <w:t>5</w:t>
      </w:r>
      <w:r w:rsidRPr="007C4E02">
        <w:rPr>
          <w:rFonts w:ascii="Times New Roman" w:hAnsi="Times New Roman" w:cs="Times New Roman"/>
        </w:rPr>
        <w:t xml:space="preserve">00 farm families); </w:t>
      </w:r>
    </w:p>
    <w:p w14:paraId="52C61868" w14:textId="4C4E8B56"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Increased access to water supply and sanitation in the basin (more than </w:t>
      </w:r>
      <w:r w:rsidR="000A2C6E" w:rsidRPr="007C4E02">
        <w:rPr>
          <w:rFonts w:ascii="Times New Roman" w:hAnsi="Times New Roman" w:cs="Times New Roman"/>
        </w:rPr>
        <w:t>50</w:t>
      </w:r>
      <w:r w:rsidRPr="007C4E02">
        <w:rPr>
          <w:rFonts w:ascii="Times New Roman" w:hAnsi="Times New Roman" w:cs="Times New Roman"/>
        </w:rPr>
        <w:t>,000 people by 20</w:t>
      </w:r>
      <w:r w:rsidR="00D94A6E" w:rsidRPr="007C4E02">
        <w:rPr>
          <w:rFonts w:ascii="Times New Roman" w:hAnsi="Times New Roman" w:cs="Times New Roman"/>
        </w:rPr>
        <w:t>30</w:t>
      </w:r>
      <w:r w:rsidRPr="007C4E02">
        <w:rPr>
          <w:rFonts w:ascii="Times New Roman" w:hAnsi="Times New Roman" w:cs="Times New Roman"/>
        </w:rPr>
        <w:t>);</w:t>
      </w:r>
    </w:p>
    <w:p w14:paraId="14A339E8" w14:textId="3424861B"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Increased water </w:t>
      </w:r>
      <w:r w:rsidR="000A2C6E" w:rsidRPr="007C4E02">
        <w:rPr>
          <w:rFonts w:ascii="Times New Roman" w:hAnsi="Times New Roman" w:cs="Times New Roman"/>
        </w:rPr>
        <w:t>availability</w:t>
      </w:r>
      <w:r w:rsidRPr="007C4E02">
        <w:rPr>
          <w:rFonts w:ascii="Times New Roman" w:hAnsi="Times New Roman" w:cs="Times New Roman"/>
        </w:rPr>
        <w:t xml:space="preserve"> to improve water access during droughts; </w:t>
      </w:r>
    </w:p>
    <w:p w14:paraId="54F130E1" w14:textId="742DFA64"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Socio-economic improvement of the </w:t>
      </w:r>
      <w:r w:rsidR="000A2C6E" w:rsidRPr="007C4E02">
        <w:rPr>
          <w:rFonts w:ascii="Times New Roman" w:hAnsi="Times New Roman" w:cs="Times New Roman"/>
        </w:rPr>
        <w:t>Limpopo river basin</w:t>
      </w:r>
      <w:r w:rsidRPr="007C4E02">
        <w:rPr>
          <w:rFonts w:ascii="Times New Roman" w:hAnsi="Times New Roman" w:cs="Times New Roman"/>
        </w:rPr>
        <w:t xml:space="preserve"> inhabitants </w:t>
      </w:r>
      <w:r w:rsidR="007C4E02" w:rsidRPr="007C4E02">
        <w:rPr>
          <w:rFonts w:ascii="Times New Roman" w:hAnsi="Times New Roman" w:cs="Times New Roman"/>
        </w:rPr>
        <w:t>(people are using their profits from selling farm produce to improve their livelihoods by building descent accommodation, sending children to school)</w:t>
      </w:r>
      <w:r w:rsidRPr="007C4E02">
        <w:rPr>
          <w:rFonts w:ascii="Times New Roman" w:hAnsi="Times New Roman" w:cs="Times New Roman"/>
        </w:rPr>
        <w:t xml:space="preserve"> </w:t>
      </w:r>
    </w:p>
    <w:p w14:paraId="43ECF909" w14:textId="203EE5E2"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Mitigation of </w:t>
      </w:r>
      <w:r w:rsidR="007C4E02" w:rsidRPr="007C4E02">
        <w:rPr>
          <w:rFonts w:ascii="Times New Roman" w:hAnsi="Times New Roman" w:cs="Times New Roman"/>
        </w:rPr>
        <w:t>drought</w:t>
      </w:r>
      <w:r w:rsidRPr="007C4E02">
        <w:rPr>
          <w:rFonts w:ascii="Times New Roman" w:hAnsi="Times New Roman" w:cs="Times New Roman"/>
        </w:rPr>
        <w:t xml:space="preserve"> (more than </w:t>
      </w:r>
      <w:r w:rsidR="007C4E02" w:rsidRPr="007C4E02">
        <w:rPr>
          <w:rFonts w:ascii="Times New Roman" w:hAnsi="Times New Roman" w:cs="Times New Roman"/>
        </w:rPr>
        <w:t>100</w:t>
      </w:r>
      <w:r w:rsidRPr="007C4E02">
        <w:rPr>
          <w:rFonts w:ascii="Times New Roman" w:hAnsi="Times New Roman" w:cs="Times New Roman"/>
        </w:rPr>
        <w:t xml:space="preserve">,000 people will be relieved); </w:t>
      </w:r>
    </w:p>
    <w:p w14:paraId="751AAB2D" w14:textId="020062AE"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Small-scale fisheries activities to enhance protein intake and provide an alternative source of income to the inhabitants; </w:t>
      </w:r>
    </w:p>
    <w:p w14:paraId="1B25E68B" w14:textId="6ECFD1B4"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Sustainable management of the </w:t>
      </w:r>
      <w:r w:rsidR="007C4E02" w:rsidRPr="007C4E02">
        <w:rPr>
          <w:rFonts w:ascii="Times New Roman" w:hAnsi="Times New Roman" w:cs="Times New Roman"/>
        </w:rPr>
        <w:t>Limpopo</w:t>
      </w:r>
      <w:r w:rsidRPr="007C4E02">
        <w:rPr>
          <w:rFonts w:ascii="Times New Roman" w:hAnsi="Times New Roman" w:cs="Times New Roman"/>
        </w:rPr>
        <w:t xml:space="preserve"> River Basin; </w:t>
      </w:r>
    </w:p>
    <w:p w14:paraId="180A2C74" w14:textId="38E5B68A"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Improved management information system through </w:t>
      </w:r>
      <w:r w:rsidR="007C4E02" w:rsidRPr="007C4E02">
        <w:rPr>
          <w:rFonts w:ascii="Times New Roman" w:hAnsi="Times New Roman" w:cs="Times New Roman"/>
        </w:rPr>
        <w:t>water resources</w:t>
      </w:r>
      <w:r w:rsidRPr="007C4E02">
        <w:rPr>
          <w:rFonts w:ascii="Times New Roman" w:hAnsi="Times New Roman" w:cs="Times New Roman"/>
        </w:rPr>
        <w:t xml:space="preserve"> monitoring, development and management; </w:t>
      </w:r>
    </w:p>
    <w:p w14:paraId="6F1D2799" w14:textId="232D69F4" w:rsidR="008E7ABA" w:rsidRPr="007C4E02" w:rsidRDefault="008E7ABA" w:rsidP="0073463E">
      <w:pPr>
        <w:pStyle w:val="ListParagraph"/>
        <w:numPr>
          <w:ilvl w:val="0"/>
          <w:numId w:val="15"/>
        </w:numPr>
        <w:spacing w:line="240" w:lineRule="auto"/>
        <w:jc w:val="both"/>
        <w:rPr>
          <w:rFonts w:ascii="Times New Roman" w:hAnsi="Times New Roman" w:cs="Times New Roman"/>
        </w:rPr>
      </w:pPr>
      <w:r w:rsidRPr="007C4E02">
        <w:rPr>
          <w:rFonts w:ascii="Times New Roman" w:hAnsi="Times New Roman" w:cs="Times New Roman"/>
        </w:rPr>
        <w:t xml:space="preserve">Enhanced cooperation between </w:t>
      </w:r>
      <w:r w:rsidR="007C4E02" w:rsidRPr="007C4E02">
        <w:rPr>
          <w:rFonts w:ascii="Times New Roman" w:hAnsi="Times New Roman" w:cs="Times New Roman"/>
        </w:rPr>
        <w:t>catchments and sub-catchments</w:t>
      </w:r>
      <w:r w:rsidRPr="007C4E02">
        <w:rPr>
          <w:rFonts w:ascii="Times New Roman" w:hAnsi="Times New Roman" w:cs="Times New Roman"/>
        </w:rPr>
        <w:t>.”</w:t>
      </w:r>
    </w:p>
    <w:p w14:paraId="42E66515" w14:textId="77777777" w:rsidR="00B52C61" w:rsidRPr="005E57B4" w:rsidRDefault="00E8564A" w:rsidP="00B610D8">
      <w:pPr>
        <w:keepNext/>
        <w:jc w:val="both"/>
        <w:rPr>
          <w:rFonts w:ascii="Times New Roman" w:hAnsi="Times New Roman" w:cs="Times New Roman"/>
        </w:rPr>
      </w:pPr>
      <w:r w:rsidRPr="005E57B4">
        <w:rPr>
          <w:rFonts w:ascii="Times New Roman" w:hAnsi="Times New Roman" w:cs="Times New Roman"/>
          <w:i/>
          <w:noProof/>
          <w:lang w:val="en-ZA" w:eastAsia="en-ZA"/>
        </w:rPr>
        <w:drawing>
          <wp:inline distT="0" distB="0" distL="0" distR="0" wp14:anchorId="42A7E135" wp14:editId="3D7781E0">
            <wp:extent cx="5731510" cy="3502025"/>
            <wp:effectExtent l="0" t="0" r="2540" b="3175"/>
            <wp:docPr id="2" name="Picture 2" descr="D:\03_Research\04_WEF-Tools\Case study Zimbabwe\Map Zimbabwe case 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03_Research\04_WEF-Tools\Case study Zimbabwe\Map Zimbabwe case stud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502025"/>
                    </a:xfrm>
                    <a:prstGeom prst="rect">
                      <a:avLst/>
                    </a:prstGeom>
                    <a:noFill/>
                    <a:ln>
                      <a:noFill/>
                    </a:ln>
                  </pic:spPr>
                </pic:pic>
              </a:graphicData>
            </a:graphic>
          </wp:inline>
        </w:drawing>
      </w:r>
    </w:p>
    <w:p w14:paraId="1994482E" w14:textId="4DAB1C8F" w:rsidR="009F6F30" w:rsidRDefault="00B52C61" w:rsidP="00B610D8">
      <w:pPr>
        <w:pStyle w:val="Caption"/>
        <w:jc w:val="both"/>
        <w:rPr>
          <w:rFonts w:ascii="Times New Roman" w:hAnsi="Times New Roman" w:cs="Times New Roman"/>
        </w:rPr>
      </w:pPr>
      <w:bookmarkStart w:id="0" w:name="_Ref106739806"/>
      <w:r w:rsidRPr="005E57B4">
        <w:rPr>
          <w:rFonts w:ascii="Times New Roman" w:hAnsi="Times New Roman" w:cs="Times New Roman"/>
        </w:rPr>
        <w:t xml:space="preserve">Figure </w:t>
      </w:r>
      <w:r w:rsidR="00DF5FF6">
        <w:rPr>
          <w:rFonts w:ascii="Times New Roman" w:hAnsi="Times New Roman" w:cs="Times New Roman"/>
          <w:noProof/>
        </w:rPr>
        <w:t>1</w:t>
      </w:r>
      <w:bookmarkEnd w:id="0"/>
      <w:r w:rsidRPr="005E57B4">
        <w:rPr>
          <w:rFonts w:ascii="Times New Roman" w:hAnsi="Times New Roman" w:cs="Times New Roman"/>
        </w:rPr>
        <w:t xml:space="preserve"> </w:t>
      </w:r>
      <w:r w:rsidR="009C7241" w:rsidRPr="005E57B4">
        <w:rPr>
          <w:rFonts w:ascii="Times New Roman" w:hAnsi="Times New Roman" w:cs="Times New Roman"/>
        </w:rPr>
        <w:t xml:space="preserve">Map of the study area </w:t>
      </w:r>
      <w:r w:rsidR="00977206" w:rsidRPr="005E57B4">
        <w:rPr>
          <w:rFonts w:ascii="Times New Roman" w:hAnsi="Times New Roman" w:cs="Times New Roman"/>
        </w:rPr>
        <w:t xml:space="preserve">showing the </w:t>
      </w:r>
      <w:proofErr w:type="spellStart"/>
      <w:r w:rsidR="00977206" w:rsidRPr="005E57B4">
        <w:rPr>
          <w:rFonts w:ascii="Times New Roman" w:hAnsi="Times New Roman" w:cs="Times New Roman"/>
        </w:rPr>
        <w:t>Shashe</w:t>
      </w:r>
      <w:proofErr w:type="spellEnd"/>
      <w:r w:rsidR="00977206" w:rsidRPr="005E57B4">
        <w:rPr>
          <w:rFonts w:ascii="Times New Roman" w:hAnsi="Times New Roman" w:cs="Times New Roman"/>
        </w:rPr>
        <w:t xml:space="preserve"> and </w:t>
      </w:r>
      <w:proofErr w:type="spellStart"/>
      <w:r w:rsidR="00977206" w:rsidRPr="005E57B4">
        <w:rPr>
          <w:rFonts w:ascii="Times New Roman" w:hAnsi="Times New Roman" w:cs="Times New Roman"/>
        </w:rPr>
        <w:t>Shashani</w:t>
      </w:r>
      <w:proofErr w:type="spellEnd"/>
      <w:r w:rsidR="00977206" w:rsidRPr="005E57B4">
        <w:rPr>
          <w:rFonts w:ascii="Times New Roman" w:hAnsi="Times New Roman" w:cs="Times New Roman"/>
        </w:rPr>
        <w:t xml:space="preserve"> catchment</w:t>
      </w:r>
      <w:r w:rsidR="00173E33" w:rsidRPr="005E57B4">
        <w:rPr>
          <w:rFonts w:ascii="Times New Roman" w:hAnsi="Times New Roman" w:cs="Times New Roman"/>
        </w:rPr>
        <w:t xml:space="preserve"> in the Limpopo River Basin</w:t>
      </w:r>
      <w:r w:rsidR="00977206" w:rsidRPr="005E57B4">
        <w:rPr>
          <w:rFonts w:ascii="Times New Roman" w:hAnsi="Times New Roman" w:cs="Times New Roman"/>
        </w:rPr>
        <w:t xml:space="preserve">. </w:t>
      </w:r>
    </w:p>
    <w:p w14:paraId="38737031" w14:textId="77777777" w:rsidR="00091315" w:rsidRPr="00091315" w:rsidRDefault="00091315" w:rsidP="00091315"/>
    <w:p w14:paraId="21F4B07D" w14:textId="127A4336" w:rsidR="009F6F30" w:rsidRDefault="00091315" w:rsidP="00B610D8">
      <w:pPr>
        <w:pStyle w:val="Caption"/>
        <w:jc w:val="both"/>
        <w:rPr>
          <w:rFonts w:ascii="Times New Roman" w:eastAsiaTheme="majorEastAsia" w:hAnsi="Times New Roman" w:cs="Times New Roman"/>
          <w:i w:val="0"/>
          <w:color w:val="2F5496" w:themeColor="accent1" w:themeShade="BF"/>
          <w:sz w:val="26"/>
          <w:szCs w:val="26"/>
        </w:rPr>
      </w:pPr>
      <w:r w:rsidRPr="00091315">
        <w:rPr>
          <w:rFonts w:ascii="Times New Roman" w:eastAsiaTheme="majorEastAsia" w:hAnsi="Times New Roman" w:cs="Times New Roman"/>
          <w:i w:val="0"/>
          <w:color w:val="2F5496" w:themeColor="accent1" w:themeShade="BF"/>
          <w:sz w:val="26"/>
          <w:szCs w:val="26"/>
        </w:rPr>
        <w:t>The main challenges in Limpopo River Basin and the potential impact of the LRB Programme</w:t>
      </w:r>
    </w:p>
    <w:p w14:paraId="7771392B" w14:textId="36E2F2E9" w:rsidR="00091315" w:rsidRDefault="00091315" w:rsidP="0073463E">
      <w:pPr>
        <w:spacing w:line="240" w:lineRule="auto"/>
        <w:jc w:val="both"/>
      </w:pPr>
      <w:r w:rsidRPr="00091315">
        <w:t>Climate change is predicted to magnify</w:t>
      </w:r>
      <w:r w:rsidR="00C52CD6">
        <w:t xml:space="preserve"> annual</w:t>
      </w:r>
      <w:r w:rsidRPr="00091315">
        <w:t xml:space="preserve"> </w:t>
      </w:r>
      <w:r w:rsidR="00C52CD6">
        <w:t xml:space="preserve">precipitation received in the LRB. This will </w:t>
      </w:r>
      <w:r w:rsidRPr="00091315">
        <w:t xml:space="preserve">further </w:t>
      </w:r>
      <w:r>
        <w:t>threaten</w:t>
      </w:r>
      <w:r w:rsidRPr="00091315">
        <w:t xml:space="preserve"> water availability and timing in the </w:t>
      </w:r>
      <w:r>
        <w:t>Limpopo</w:t>
      </w:r>
      <w:r w:rsidRPr="00091315">
        <w:t xml:space="preserve"> river basin, reducing accessible</w:t>
      </w:r>
      <w:r w:rsidR="00C52CD6">
        <w:t xml:space="preserve"> and available </w:t>
      </w:r>
      <w:r w:rsidRPr="00091315">
        <w:t xml:space="preserve">water for human usage, agriculture, and </w:t>
      </w:r>
      <w:r>
        <w:t>sanitation</w:t>
      </w:r>
      <w:r w:rsidRPr="00091315">
        <w:t>.</w:t>
      </w:r>
      <w:r w:rsidR="003B74A2">
        <w:t xml:space="preserve"> The installation of solar panels and solar powered pumps is vital to ensuring</w:t>
      </w:r>
      <w:r w:rsidRPr="00091315">
        <w:t xml:space="preserve"> water, food, and energy security. Changes in the frequency and severity of </w:t>
      </w:r>
      <w:r w:rsidR="003B74A2">
        <w:t>drought</w:t>
      </w:r>
      <w:r w:rsidRPr="00091315">
        <w:t xml:space="preserve"> are predicted to have a considerable influence on the socioeconomic system, inflicting damage to built-up regions and cultivated land.</w:t>
      </w:r>
    </w:p>
    <w:p w14:paraId="3B8DB048" w14:textId="5F735A64" w:rsidR="0090202F" w:rsidRDefault="0090202F" w:rsidP="0073463E">
      <w:pPr>
        <w:spacing w:line="240" w:lineRule="auto"/>
        <w:jc w:val="both"/>
      </w:pPr>
      <w:r w:rsidRPr="0090202F">
        <w:t xml:space="preserve">Water access and availability are major challenges in the basin; in fact, not everyone has access to clean water, and methods of increasing supply are being investigated.  Access to essential water needs and agricultural supplies is limited. Because of inadequate water supply, WHO-recommended prophylactic measures during the Covid-19 pandemic may not always be implemented, thereby affecting human health and the socioeconomic system. The </w:t>
      </w:r>
      <w:r>
        <w:t>installation of water pumps</w:t>
      </w:r>
      <w:r w:rsidRPr="0090202F">
        <w:t xml:space="preserve"> is intended to play a critical role in enhancing </w:t>
      </w:r>
      <w:r>
        <w:t>alluvial</w:t>
      </w:r>
      <w:r w:rsidRPr="0090202F">
        <w:t xml:space="preserve"> water </w:t>
      </w:r>
      <w:r>
        <w:t xml:space="preserve">accessibility </w:t>
      </w:r>
      <w:r w:rsidRPr="0090202F">
        <w:t>and water supply, especially in the context of climate change. Changes in precipitation frequency and intensity may have an impact on available water, resulting in unavoidable imbalances between water supply and demand</w:t>
      </w:r>
      <w:r>
        <w:t xml:space="preserve">, </w:t>
      </w:r>
      <w:r>
        <w:t>as well as an inescapable impact on the socioeconomic system and the land sector, and hence on local food production.</w:t>
      </w:r>
      <w:r w:rsidR="008B755B">
        <w:t xml:space="preserve"> </w:t>
      </w:r>
      <w:r>
        <w:t xml:space="preserve">Because of the tremendous need for water and energy, the food sector is one of the most prominent in the basin. The </w:t>
      </w:r>
      <w:r>
        <w:t xml:space="preserve">small </w:t>
      </w:r>
      <w:r>
        <w:t xml:space="preserve">irrigation schemes, as well as the </w:t>
      </w:r>
      <w:r>
        <w:t xml:space="preserve">installation of more than 50 solar power pumps and a number of solar </w:t>
      </w:r>
      <w:r w:rsidR="008B755B">
        <w:t>panels</w:t>
      </w:r>
      <w:r>
        <w:t>, are planned to enhance irrigated area in the basin over the next decade, ensuring water, energy, and food security.</w:t>
      </w:r>
    </w:p>
    <w:p w14:paraId="7AB85211" w14:textId="77777777" w:rsidR="008B755B" w:rsidRDefault="008B755B" w:rsidP="0073463E">
      <w:pPr>
        <w:spacing w:line="240" w:lineRule="auto"/>
        <w:jc w:val="both"/>
      </w:pPr>
      <w:r w:rsidRPr="008B755B">
        <w:t xml:space="preserve">Food security is also predicted to benefit from increased small-scale fishing activity, which has been identified as one of the </w:t>
      </w:r>
      <w:r>
        <w:t>LRB</w:t>
      </w:r>
      <w:r w:rsidRPr="008B755B">
        <w:t>'s primary outputs. Diversification of locally produced food available for consumption is critical for dealing with nutrition difficulties and food-borne infections.</w:t>
      </w:r>
    </w:p>
    <w:p w14:paraId="492789DA" w14:textId="5BF8F6B3" w:rsidR="003B00BE" w:rsidRDefault="008B755B" w:rsidP="0073463E">
      <w:pPr>
        <w:spacing w:line="240" w:lineRule="auto"/>
        <w:jc w:val="both"/>
      </w:pPr>
      <w:r w:rsidRPr="008B755B">
        <w:t xml:space="preserve">Several issues, including a lack of arable land, falling soil fertility, and climate change, have recently hampered the agricultural sector. To deal with these challenges, farmers are shifting from </w:t>
      </w:r>
      <w:r>
        <w:t xml:space="preserve">rainfed agriculture to </w:t>
      </w:r>
      <w:r w:rsidR="003B00BE">
        <w:t>irrigation and livestock production</w:t>
      </w:r>
      <w:r w:rsidRPr="008B755B">
        <w:t xml:space="preserve">, where they may earn a living through fishing, agricultural production, and livestock husbandry. Because of the potential for increased income and employment, this has a </w:t>
      </w:r>
      <w:r w:rsidR="003B00BE" w:rsidRPr="008B755B">
        <w:t>favourable</w:t>
      </w:r>
      <w:r w:rsidRPr="008B755B">
        <w:t xml:space="preserve"> impact on socioeconomic development and quality of life.</w:t>
      </w:r>
      <w:r w:rsidR="003B00BE" w:rsidRPr="003B00BE">
        <w:t xml:space="preserve"> Although this </w:t>
      </w:r>
      <w:r w:rsidR="003B00BE">
        <w:t>shift</w:t>
      </w:r>
      <w:r w:rsidR="003B00BE" w:rsidRPr="003B00BE">
        <w:t xml:space="preserve"> improves the basin's population, there are significant trade-offs to consider. In fact, despite the fact that crop production is quickly expanding due to increased food need, cultivation of these lands is uncontrolled.</w:t>
      </w:r>
      <w:r w:rsidR="003B00BE">
        <w:t xml:space="preserve"> </w:t>
      </w:r>
      <w:r w:rsidR="003B00BE" w:rsidRPr="003B00BE">
        <w:t xml:space="preserve">This rapid land use change, along with a lack of measurements, is having a significant influence on socioeconomic activity and local people's livelihoods. Indeed, while the increase of arable land generates more revenue, rapid and unregulated land use change undermines other forms of livelihood and contributes considerably to biodiversity loss and ecosystem </w:t>
      </w:r>
      <w:r w:rsidR="003B00BE" w:rsidRPr="001A3F77">
        <w:t xml:space="preserve">health </w:t>
      </w:r>
      <w:r w:rsidR="001A3F77" w:rsidRPr="001A3F77">
        <w:fldChar w:fldCharType="begin"/>
      </w:r>
      <w:r w:rsidR="001A3F77" w:rsidRPr="001A3F77">
        <w:instrText xml:space="preserve"> ADDIN EN.CITE &lt;EndNote&gt;&lt;Cite&gt;&lt;Author&gt;Logan&lt;/Author&gt;&lt;Year&gt;2020&lt;/Year&gt;&lt;RecNum&gt;10&lt;/RecNum&gt;&lt;DisplayText&gt;(Logan, 2020)&lt;/DisplayText&gt;&lt;record&gt;&lt;rec-number&gt;10&lt;/rec-number&gt;&lt;foreign-keys&gt;&lt;key app="EN" db-id="a2zpwv2rlwzprbe2st55tazbzpdpxtxrezwa" timestamp="1684148842"&gt;10&lt;/key&gt;&lt;/foreign-keys&gt;&lt;ref-type name="Book Section"&gt;5&lt;/ref-type&gt;&lt;contributors&gt;&lt;authors&gt;&lt;author&gt;Logan, Terry J&lt;/author&gt;&lt;/authors&gt;&lt;/contributors&gt;&lt;titles&gt;&lt;title&gt;Sustainable agriculture and water quality&lt;/title&gt;&lt;secondary-title&gt;Sustainable agricultural systems&lt;/secondary-title&gt;&lt;/titles&gt;&lt;pages&gt;582-613&lt;/pages&gt;&lt;dates&gt;&lt;year&gt;2020&lt;/year&gt;&lt;/dates&gt;&lt;publisher&gt;CRC Press&lt;/publisher&gt;&lt;isbn&gt;1003070477&lt;/isbn&gt;&lt;urls&gt;&lt;/urls&gt;&lt;/record&gt;&lt;/Cite&gt;&lt;/EndNote&gt;</w:instrText>
      </w:r>
      <w:r w:rsidR="001A3F77" w:rsidRPr="001A3F77">
        <w:fldChar w:fldCharType="separate"/>
      </w:r>
      <w:r w:rsidR="001A3F77" w:rsidRPr="001A3F77">
        <w:rPr>
          <w:noProof/>
        </w:rPr>
        <w:t>(Logan, 2020)</w:t>
      </w:r>
      <w:r w:rsidR="001A3F77" w:rsidRPr="001A3F77">
        <w:fldChar w:fldCharType="end"/>
      </w:r>
      <w:r w:rsidR="001A3F77" w:rsidRPr="001A3F77">
        <w:t>.</w:t>
      </w:r>
      <w:r w:rsidR="001A3F77">
        <w:t xml:space="preserve"> </w:t>
      </w:r>
      <w:r w:rsidR="003B00BE" w:rsidRPr="003B00BE">
        <w:t xml:space="preserve">Natural flora has been lost as a result of resource overexploitation, and permanent wet regions have vanished. The conversion of </w:t>
      </w:r>
      <w:r w:rsidR="001A3F77">
        <w:t>grasslands and forested areas</w:t>
      </w:r>
      <w:r w:rsidR="003B00BE" w:rsidRPr="003B00BE">
        <w:t xml:space="preserve"> to agricultural land is now one of the primary reasons of </w:t>
      </w:r>
      <w:r w:rsidR="001A3F77">
        <w:t xml:space="preserve">desertification, erosion and extinction of fauna and flora species </w:t>
      </w:r>
      <w:r w:rsidR="001A3F77">
        <w:fldChar w:fldCharType="begin"/>
      </w:r>
      <w:r w:rsidR="001A3F77">
        <w:instrText xml:space="preserve"> ADDIN EN.CITE &lt;EndNote&gt;&lt;Cite&gt;&lt;Author&gt;Kerley&lt;/Author&gt;&lt;Year&gt;1995&lt;/Year&gt;&lt;RecNum&gt;11&lt;/RecNum&gt;&lt;DisplayText&gt;(Kerley et al., 1995)&lt;/DisplayText&gt;&lt;record&gt;&lt;rec-number&gt;11&lt;/rec-number&gt;&lt;foreign-keys&gt;&lt;key app="EN" db-id="a2zpwv2rlwzprbe2st55tazbzpdpxtxrezwa" timestamp="1684149254"&gt;11&lt;/key&gt;&lt;/foreign-keys&gt;&lt;ref-type name="Journal Article"&gt;17&lt;/ref-type&gt;&lt;contributors&gt;&lt;authors&gt;&lt;author&gt;Kerley, Graham IH&lt;/author&gt;&lt;author&gt;Knight, Michael H&lt;/author&gt;&lt;author&gt;De Kock, Mauritz&lt;/author&gt;&lt;/authors&gt;&lt;/contributors&gt;&lt;titles&gt;&lt;title&gt;Desertification of subtropical thicket in the Eastern Cape, South Africa: are there alternatives?&lt;/title&gt;&lt;secondary-title&gt;Environmental Monitoring and Assessment&lt;/secondary-title&gt;&lt;/titles&gt;&lt;periodical&gt;&lt;full-title&gt;Environmental Monitoring and Assessment&lt;/full-title&gt;&lt;/periodical&gt;&lt;pages&gt;211-230&lt;/pages&gt;&lt;volume&gt;37&lt;/volume&gt;&lt;dates&gt;&lt;year&gt;1995&lt;/year&gt;&lt;/dates&gt;&lt;isbn&gt;0167-6369&lt;/isbn&gt;&lt;urls&gt;&lt;/urls&gt;&lt;/record&gt;&lt;/Cite&gt;&lt;/EndNote&gt;</w:instrText>
      </w:r>
      <w:r w:rsidR="001A3F77">
        <w:fldChar w:fldCharType="separate"/>
      </w:r>
      <w:r w:rsidR="001A3F77">
        <w:rPr>
          <w:noProof/>
        </w:rPr>
        <w:t>(Kerley et al., 1995)</w:t>
      </w:r>
      <w:r w:rsidR="001A3F77">
        <w:fldChar w:fldCharType="end"/>
      </w:r>
      <w:r w:rsidR="001A3F77">
        <w:t xml:space="preserve">. </w:t>
      </w:r>
      <w:r w:rsidR="007E4E9B" w:rsidRPr="007E4E9B">
        <w:t xml:space="preserve">Another significant issue is the lack of access to food, which is </w:t>
      </w:r>
      <w:r w:rsidR="007E4E9B">
        <w:t>compromised</w:t>
      </w:r>
      <w:r w:rsidR="007E4E9B" w:rsidRPr="007E4E9B">
        <w:t xml:space="preserve"> by a lack of services, particularly access to markets and </w:t>
      </w:r>
      <w:r w:rsidR="001A3F77">
        <w:t>roa</w:t>
      </w:r>
      <w:r w:rsidR="0092718E">
        <w:t xml:space="preserve">ds. </w:t>
      </w:r>
      <w:r w:rsidR="007E4E9B" w:rsidRPr="007E4E9B">
        <w:t xml:space="preserve">As a result, the </w:t>
      </w:r>
      <w:r w:rsidR="007E4E9B">
        <w:t>LRB</w:t>
      </w:r>
      <w:r w:rsidR="007E4E9B" w:rsidRPr="007E4E9B">
        <w:t xml:space="preserve"> includes road improvements, which are projected to improve food accessibility and availability. In the food balance, it is critical to include both local food produced and eaten, as well as food </w:t>
      </w:r>
      <w:r w:rsidR="007E4E9B">
        <w:t>preserved and sold</w:t>
      </w:r>
      <w:r w:rsidR="007E4E9B" w:rsidRPr="007E4E9B">
        <w:t>, for their impact on the socioeconomic system in terms of market, food price, food diversity, and dietary changes.</w:t>
      </w:r>
    </w:p>
    <w:p w14:paraId="45630AE8" w14:textId="1B4925CD" w:rsidR="00393E2C" w:rsidRDefault="007E4E9B" w:rsidP="0073463E">
      <w:pPr>
        <w:spacing w:line="240" w:lineRule="auto"/>
        <w:jc w:val="both"/>
      </w:pPr>
      <w:r w:rsidRPr="007E4E9B">
        <w:t xml:space="preserve">Although the </w:t>
      </w:r>
      <w:r>
        <w:t>LRB</w:t>
      </w:r>
      <w:r w:rsidRPr="007E4E9B">
        <w:t xml:space="preserve"> projects are predicted to have a favourable influence on water, energy, and food availability and access</w:t>
      </w:r>
      <w:r w:rsidR="00393E2C">
        <w:t>ibility</w:t>
      </w:r>
      <w:r w:rsidRPr="007E4E9B">
        <w:t>, irrigated land, food diversity, revenue production, and human health, there are also expected to be drawbacks</w:t>
      </w:r>
      <w:r w:rsidR="00393E2C">
        <w:t xml:space="preserve">. </w:t>
      </w:r>
      <w:r w:rsidR="00393E2C" w:rsidRPr="00393E2C">
        <w:t xml:space="preserve"> Indeed, increased crop production (particularly farmland </w:t>
      </w:r>
      <w:r w:rsidR="00393E2C" w:rsidRPr="00393E2C">
        <w:lastRenderedPageBreak/>
        <w:t xml:space="preserve">and </w:t>
      </w:r>
      <w:r w:rsidR="00393E2C">
        <w:t>river bank cultivation</w:t>
      </w:r>
      <w:r w:rsidR="00393E2C" w:rsidRPr="00393E2C">
        <w:t xml:space="preserve">) may have a significant influence on water quality due to increased nutrient and pesticide loads in the river. This could have a negative impact on human and ecological health. Increased agricultural activity can result in pollution, biodiversity loss, provision of ecosystem goods and services, land </w:t>
      </w:r>
      <w:r w:rsidR="00393E2C" w:rsidRPr="001A3F77">
        <w:t>degradation, and soil fertility</w:t>
      </w:r>
      <w:r w:rsidR="001A3F77" w:rsidRPr="001A3F77">
        <w:t xml:space="preserve"> </w:t>
      </w:r>
      <w:r w:rsidR="001A3F77" w:rsidRPr="001A3F77">
        <w:fldChar w:fldCharType="begin"/>
      </w:r>
      <w:r w:rsidR="001A3F77" w:rsidRPr="001A3F77">
        <w:instrText xml:space="preserve"> ADDIN EN.CITE &lt;EndNote&gt;&lt;Cite&gt;&lt;Author&gt;Logan&lt;/Author&gt;&lt;Year&gt;2020&lt;/Year&gt;&lt;RecNum&gt;10&lt;/RecNum&gt;&lt;DisplayText&gt;(Logan, 2020, Mpala et al., 2016)&lt;/DisplayText&gt;&lt;record&gt;&lt;rec-number&gt;10&lt;/rec-number&gt;&lt;foreign-keys&gt;&lt;key app="EN" db-id="a2zpwv2rlwzprbe2st55tazbzpdpxtxrezwa" timestamp="1684148842"&gt;10&lt;/key&gt;&lt;/foreign-keys&gt;&lt;ref-type name="Book Section"&gt;5&lt;/ref-type&gt;&lt;contributors&gt;&lt;authors&gt;&lt;author&gt;Logan, Terry J&lt;/author&gt;&lt;/authors&gt;&lt;/contributors&gt;&lt;titles&gt;&lt;title&gt;Sustainable agriculture and water quality&lt;/title&gt;&lt;secondary-title&gt;Sustainable agricultural systems&lt;/secondary-title&gt;&lt;/titles&gt;&lt;pages&gt;582-613&lt;/pages&gt;&lt;dates&gt;&lt;year&gt;2020&lt;/year&gt;&lt;/dates&gt;&lt;publisher&gt;CRC Press&lt;/publisher&gt;&lt;isbn&gt;1003070477&lt;/isbn&gt;&lt;urls&gt;&lt;/urls&gt;&lt;/record&gt;&lt;/Cite&gt;&lt;Cite&gt;&lt;Author&gt;Mpala&lt;/Author&gt;&lt;Year&gt;2016&lt;/Year&gt;&lt;RecNum&gt;7&lt;/RecNum&gt;&lt;record&gt;&lt;rec-number&gt;7&lt;/rec-number&gt;&lt;foreign-keys&gt;&lt;key app="EN" db-id="a2zpwv2rlwzprbe2st55tazbzpdpxtxrezwa" timestamp="1684139377"&gt;7&lt;/key&gt;&lt;/foreign-keys&gt;&lt;ref-type name="Journal Article"&gt;17&lt;/ref-type&gt;&lt;contributors&gt;&lt;authors&gt;&lt;author&gt;Mpala, S. C.&lt;/author&gt;&lt;author&gt;Gagnon, A. S.&lt;/author&gt;&lt;author&gt;Mansell, M. G.&lt;/author&gt;&lt;author&gt;Hussey, S. W.&lt;/author&gt;&lt;/authors&gt;&lt;/contributors&gt;&lt;titles&gt;&lt;title&gt;The hydrology of sand rivers in Zimbabwe and the use of remote sensing to assess their level of saturation&lt;/title&gt;&lt;secondary-title&gt;Physics and Chemistry of the Earth, Parts A/B/C&lt;/secondary-title&gt;&lt;/titles&gt;&lt;periodical&gt;&lt;full-title&gt;Physics and Chemistry of the Earth, Parts A/B/C&lt;/full-title&gt;&lt;/periodical&gt;&lt;pages&gt;24-36&lt;/pages&gt;&lt;volume&gt;93&lt;/volume&gt;&lt;keywords&gt;&lt;keyword&gt;Advanced synthetic aperture radar&lt;/keyword&gt;&lt;keyword&gt;Alluvial aquifer&lt;/keyword&gt;&lt;keyword&gt;Remote sensing&lt;/keyword&gt;&lt;keyword&gt;Sand river&lt;/keyword&gt;&lt;keyword&gt;Water level&lt;/keyword&gt;&lt;keyword&gt;Zimbabwe&lt;/keyword&gt;&lt;/keywords&gt;&lt;dates&gt;&lt;year&gt;2016&lt;/year&gt;&lt;pub-dates&gt;&lt;date&gt;2016/06/01/&lt;/date&gt;&lt;/pub-dates&gt;&lt;/dates&gt;&lt;isbn&gt;1474-7065&lt;/isbn&gt;&lt;urls&gt;&lt;related-urls&gt;&lt;url&gt;https://www.sciencedirect.com/science/article/pii/S1474706516000206&lt;/url&gt;&lt;/related-urls&gt;&lt;/urls&gt;&lt;electronic-resource-num&gt;https://doi.org/10.1016/j.pce.2016.03.004&lt;/electronic-resource-num&gt;&lt;/record&gt;&lt;/Cite&gt;&lt;/EndNote&gt;</w:instrText>
      </w:r>
      <w:r w:rsidR="001A3F77" w:rsidRPr="001A3F77">
        <w:fldChar w:fldCharType="separate"/>
      </w:r>
      <w:r w:rsidR="001A3F77" w:rsidRPr="001A3F77">
        <w:rPr>
          <w:noProof/>
        </w:rPr>
        <w:t>(Logan, 2020, Mpala et al., 2016)</w:t>
      </w:r>
      <w:r w:rsidR="001A3F77" w:rsidRPr="001A3F77">
        <w:fldChar w:fldCharType="end"/>
      </w:r>
      <w:r w:rsidRPr="001A3F77">
        <w:t>.</w:t>
      </w:r>
      <w:r w:rsidR="00393E2C">
        <w:t xml:space="preserve"> </w:t>
      </w:r>
    </w:p>
    <w:p w14:paraId="0B2682C4" w14:textId="61186A8E" w:rsidR="008B755B" w:rsidRDefault="00393E2C" w:rsidP="0073463E">
      <w:pPr>
        <w:spacing w:line="240" w:lineRule="auto"/>
        <w:jc w:val="both"/>
      </w:pPr>
      <w:r w:rsidRPr="00393E2C">
        <w:t xml:space="preserve">Identifying interconnections, synergies, and trade-offs across the sectors and sub-sectors that will be touched by the </w:t>
      </w:r>
      <w:r>
        <w:t>LRB</w:t>
      </w:r>
      <w:r w:rsidRPr="00393E2C">
        <w:t xml:space="preserve"> is critical for assessing the Program's potential impact on the basin and better addressing decision-making. The </w:t>
      </w:r>
      <w:r>
        <w:t>L</w:t>
      </w:r>
      <w:r w:rsidRPr="00393E2C">
        <w:t xml:space="preserve">RB Programme's key challenges are to reduce poverty, promote human health and livelihoods, assure water, food, and energy security, reduce natural climate variability and associated droughts, and improve sustainable river basin management. Cooperation between </w:t>
      </w:r>
      <w:r>
        <w:t>relevant stakeholders</w:t>
      </w:r>
      <w:r w:rsidRPr="00393E2C">
        <w:t xml:space="preserve"> is very necessary in order to accomplish the goals of the Programme envisioned in the basin by </w:t>
      </w:r>
      <w:r>
        <w:t>all the involved stakeholders</w:t>
      </w:r>
      <w:r w:rsidRPr="00393E2C">
        <w:t xml:space="preserve"> and to ensure the basin's sustainable development.</w:t>
      </w:r>
    </w:p>
    <w:p w14:paraId="00BCBDA7" w14:textId="1BDFCDF1" w:rsidR="00F812BE" w:rsidRPr="00091315" w:rsidRDefault="00F812BE" w:rsidP="0073463E">
      <w:pPr>
        <w:spacing w:line="240" w:lineRule="auto"/>
        <w:jc w:val="both"/>
      </w:pPr>
      <w:r w:rsidRPr="00F812BE">
        <w:t xml:space="preserve">In order to solve the key challenges in the </w:t>
      </w:r>
      <w:r>
        <w:t>L</w:t>
      </w:r>
      <w:r w:rsidRPr="00F812BE">
        <w:t xml:space="preserve">RB, </w:t>
      </w:r>
      <w:r>
        <w:t xml:space="preserve">the </w:t>
      </w:r>
      <w:r w:rsidRPr="00F812BE">
        <w:t>government</w:t>
      </w:r>
      <w:r>
        <w:t xml:space="preserve"> established a local river basin management authority </w:t>
      </w:r>
      <w:r w:rsidR="001A3F77" w:rsidRPr="001A3F77">
        <w:t>(interim name only</w:t>
      </w:r>
      <w:r w:rsidR="001A3F77">
        <w:t>)</w:t>
      </w:r>
      <w:r w:rsidR="001A3F77" w:rsidRPr="001A3F77">
        <w:t xml:space="preserve"> </w:t>
      </w:r>
      <w:r>
        <w:t>in 2015</w:t>
      </w:r>
      <w:r w:rsidRPr="00F812BE">
        <w:t xml:space="preserve">. </w:t>
      </w:r>
      <w:r>
        <w:t xml:space="preserve">The authority </w:t>
      </w:r>
      <w:r w:rsidRPr="00F812BE">
        <w:t xml:space="preserve">“affirmed </w:t>
      </w:r>
      <w:r>
        <w:t>its</w:t>
      </w:r>
      <w:r w:rsidRPr="00F812BE">
        <w:t xml:space="preserve"> determination to continue cooperating and promoting in a constructive and mutually beneficial manner in the sustainable development, utilization, conservation, and management of the </w:t>
      </w:r>
      <w:r>
        <w:t>Limpopo</w:t>
      </w:r>
      <w:r w:rsidRPr="00F812BE">
        <w:t xml:space="preserve"> River Basin water and related resources for social and economic development, navigational and non-navigational </w:t>
      </w:r>
      <w:r w:rsidRPr="001A3F77">
        <w:t>purposes, and the well-being of locals, consistent with the needs to protect the environment.”</w:t>
      </w:r>
      <w:r w:rsidR="001A3F77" w:rsidRPr="001A3F77">
        <w:fldChar w:fldCharType="begin"/>
      </w:r>
      <w:r w:rsidR="001A3F77" w:rsidRPr="001A3F77">
        <w:instrText xml:space="preserve"> ADDIN EN.CITE &lt;EndNote&gt;&lt;Cite&gt;&lt;Author&gt;Duker&lt;/Author&gt;&lt;Year&gt;2020&lt;/Year&gt;&lt;RecNum&gt;8&lt;/RecNum&gt;&lt;DisplayText&gt;(Duker et al., 2020)&lt;/DisplayText&gt;&lt;record&gt;&lt;rec-number&gt;8&lt;/rec-number&gt;&lt;foreign-keys&gt;&lt;key app="EN" db-id="a2zpwv2rlwzprbe2st55tazbzpdpxtxrezwa" timestamp="1684139442"&gt;8&lt;/key&gt;&lt;/foreign-keys&gt;&lt;ref-type name="Journal Article"&gt;17&lt;/ref-type&gt;&lt;contributors&gt;&lt;authors&gt;&lt;author&gt;Duker, A. E. C.&lt;/author&gt;&lt;author&gt;Mawoyo, T. A.&lt;/author&gt;&lt;author&gt;Bolding, A.&lt;/author&gt;&lt;author&gt;de Fraiture, C.&lt;/author&gt;&lt;author&gt;van der Zaag, P.&lt;/author&gt;&lt;/authors&gt;&lt;/contributors&gt;&lt;titles&gt;&lt;title&gt;Shifting or drifting? The crisis-driven advancement and failure of private smallholder irrigation from sand river aquifers in southern arid Zimbabwe&lt;/title&gt;&lt;secondary-title&gt;Agricultural Water Management&lt;/secondary-title&gt;&lt;/titles&gt;&lt;periodical&gt;&lt;full-title&gt;Agricultural Water Management&lt;/full-title&gt;&lt;/periodical&gt;&lt;pages&gt;106342&lt;/pages&gt;&lt;volume&gt;241&lt;/volume&gt;&lt;keywords&gt;&lt;keyword&gt;Sand river aquifers&lt;/keyword&gt;&lt;keyword&gt;Private smallholder irrigation&lt;/keyword&gt;&lt;keyword&gt;Energy&lt;/keyword&gt;&lt;keyword&gt;Rural livelihoods&lt;/keyword&gt;&lt;keyword&gt;Social-ecological systems&lt;/keyword&gt;&lt;keyword&gt;Zimbabwe&lt;/keyword&gt;&lt;/keywords&gt;&lt;dates&gt;&lt;year&gt;2020&lt;/year&gt;&lt;pub-dates&gt;&lt;date&gt;2020/11/01/&lt;/date&gt;&lt;/pub-dates&gt;&lt;/dates&gt;&lt;isbn&gt;0378-3774&lt;/isbn&gt;&lt;urls&gt;&lt;related-urls&gt;&lt;url&gt;https://www.sciencedirect.com/science/article/pii/S037837742030442X&lt;/url&gt;&lt;/related-urls&gt;&lt;/urls&gt;&lt;electronic-resource-num&gt;https://doi.org/10.1016/j.agwat.2020.106342&lt;/electronic-resource-num&gt;&lt;/record&gt;&lt;/Cite&gt;&lt;/EndNote&gt;</w:instrText>
      </w:r>
      <w:r w:rsidR="001A3F77" w:rsidRPr="001A3F77">
        <w:fldChar w:fldCharType="separate"/>
      </w:r>
      <w:r w:rsidR="001A3F77" w:rsidRPr="001A3F77">
        <w:rPr>
          <w:noProof/>
        </w:rPr>
        <w:t>(</w:t>
      </w:r>
      <w:proofErr w:type="spellStart"/>
      <w:r w:rsidR="001A3F77" w:rsidRPr="001A3F77">
        <w:rPr>
          <w:noProof/>
        </w:rPr>
        <w:t>Duker</w:t>
      </w:r>
      <w:proofErr w:type="spellEnd"/>
      <w:r w:rsidR="001A3F77" w:rsidRPr="001A3F77">
        <w:rPr>
          <w:noProof/>
        </w:rPr>
        <w:t xml:space="preserve"> et al., 2020)</w:t>
      </w:r>
      <w:r w:rsidR="001A3F77" w:rsidRPr="001A3F77">
        <w:fldChar w:fldCharType="end"/>
      </w:r>
      <w:r w:rsidR="001A3F77" w:rsidRPr="001A3F77">
        <w:t xml:space="preserve">. </w:t>
      </w:r>
    </w:p>
    <w:p w14:paraId="6D22516C" w14:textId="1FDC867F" w:rsidR="007E2ABE" w:rsidRDefault="0086049E" w:rsidP="0073463E">
      <w:pPr>
        <w:pStyle w:val="Caption"/>
        <w:jc w:val="both"/>
        <w:rPr>
          <w:rFonts w:ascii="Calibri" w:eastAsiaTheme="majorEastAsia" w:hAnsi="Calibri" w:cs="Calibri"/>
          <w:i w:val="0"/>
          <w:color w:val="000000" w:themeColor="text1"/>
          <w:sz w:val="22"/>
          <w:szCs w:val="22"/>
        </w:rPr>
      </w:pPr>
      <w:r w:rsidRPr="0086049E">
        <w:rPr>
          <w:rFonts w:ascii="Calibri" w:eastAsiaTheme="majorEastAsia" w:hAnsi="Calibri" w:cs="Calibri"/>
          <w:i w:val="0"/>
          <w:color w:val="000000" w:themeColor="text1"/>
          <w:sz w:val="22"/>
          <w:szCs w:val="22"/>
        </w:rPr>
        <w:t xml:space="preserve">Two important lessons were drawn from the </w:t>
      </w:r>
      <w:r>
        <w:rPr>
          <w:rFonts w:ascii="Calibri" w:eastAsiaTheme="majorEastAsia" w:hAnsi="Calibri" w:cs="Calibri"/>
          <w:i w:val="0"/>
          <w:color w:val="000000" w:themeColor="text1"/>
          <w:sz w:val="22"/>
          <w:szCs w:val="22"/>
        </w:rPr>
        <w:t xml:space="preserve">2021 </w:t>
      </w:r>
      <w:r w:rsidRPr="0086049E">
        <w:rPr>
          <w:rFonts w:ascii="Calibri" w:eastAsiaTheme="majorEastAsia" w:hAnsi="Calibri" w:cs="Calibri"/>
          <w:i w:val="0"/>
          <w:color w:val="000000" w:themeColor="text1"/>
          <w:sz w:val="22"/>
          <w:szCs w:val="22"/>
        </w:rPr>
        <w:t xml:space="preserve">workshop on </w:t>
      </w:r>
      <w:r>
        <w:rPr>
          <w:rFonts w:ascii="Calibri" w:eastAsiaTheme="majorEastAsia" w:hAnsi="Calibri" w:cs="Calibri"/>
          <w:i w:val="0"/>
          <w:color w:val="000000" w:themeColor="text1"/>
          <w:sz w:val="22"/>
          <w:szCs w:val="22"/>
        </w:rPr>
        <w:t>water energy, food nexus in the river basin</w:t>
      </w:r>
      <w:r w:rsidRPr="0086049E">
        <w:rPr>
          <w:rFonts w:ascii="Calibri" w:eastAsiaTheme="majorEastAsia" w:hAnsi="Calibri" w:cs="Calibri"/>
          <w:i w:val="0"/>
          <w:color w:val="000000" w:themeColor="text1"/>
          <w:sz w:val="22"/>
          <w:szCs w:val="22"/>
        </w:rPr>
        <w:t>: "Equitable water allocation is not simple or straightforward."</w:t>
      </w:r>
      <w:r w:rsidRPr="0086049E">
        <w:t xml:space="preserve"> </w:t>
      </w:r>
      <w:r w:rsidRPr="0086049E">
        <w:rPr>
          <w:rFonts w:ascii="Calibri" w:eastAsiaTheme="majorEastAsia" w:hAnsi="Calibri" w:cs="Calibri"/>
          <w:i w:val="0"/>
          <w:color w:val="000000" w:themeColor="text1"/>
          <w:sz w:val="22"/>
          <w:szCs w:val="22"/>
        </w:rPr>
        <w:t xml:space="preserve">As </w:t>
      </w:r>
      <w:r>
        <w:rPr>
          <w:rFonts w:ascii="Calibri" w:eastAsiaTheme="majorEastAsia" w:hAnsi="Calibri" w:cs="Calibri"/>
          <w:i w:val="0"/>
          <w:color w:val="000000" w:themeColor="text1"/>
          <w:sz w:val="22"/>
          <w:szCs w:val="22"/>
        </w:rPr>
        <w:t>a drought prone region</w:t>
      </w:r>
      <w:r w:rsidRPr="0086049E">
        <w:rPr>
          <w:rFonts w:ascii="Calibri" w:eastAsiaTheme="majorEastAsia" w:hAnsi="Calibri" w:cs="Calibri"/>
          <w:i w:val="0"/>
          <w:color w:val="000000" w:themeColor="text1"/>
          <w:sz w:val="22"/>
          <w:szCs w:val="22"/>
        </w:rPr>
        <w:t xml:space="preserve"> water demand grows, so does the complexity of water allocation and management"</w:t>
      </w:r>
      <w:r w:rsidR="001A3F77">
        <w:rPr>
          <w:rFonts w:ascii="Calibri" w:eastAsiaTheme="majorEastAsia" w:hAnsi="Calibri" w:cs="Calibri"/>
          <w:i w:val="0"/>
          <w:color w:val="000000" w:themeColor="text1"/>
          <w:sz w:val="22"/>
          <w:szCs w:val="22"/>
        </w:rPr>
        <w:t xml:space="preserve">, </w:t>
      </w:r>
      <w:r w:rsidRPr="0086049E">
        <w:rPr>
          <w:rFonts w:ascii="Calibri" w:eastAsiaTheme="majorEastAsia" w:hAnsi="Calibri" w:cs="Calibri"/>
          <w:i w:val="0"/>
          <w:color w:val="000000" w:themeColor="text1"/>
          <w:sz w:val="22"/>
          <w:szCs w:val="22"/>
        </w:rPr>
        <w:t>and ii) "</w:t>
      </w:r>
      <w:r>
        <w:rPr>
          <w:rFonts w:ascii="Calibri" w:eastAsiaTheme="majorEastAsia" w:hAnsi="Calibri" w:cs="Calibri"/>
          <w:i w:val="0"/>
          <w:color w:val="000000" w:themeColor="text1"/>
          <w:sz w:val="22"/>
          <w:szCs w:val="22"/>
        </w:rPr>
        <w:t>Allocations</w:t>
      </w:r>
      <w:r w:rsidRPr="0086049E">
        <w:rPr>
          <w:rFonts w:ascii="Calibri" w:eastAsiaTheme="majorEastAsia" w:hAnsi="Calibri" w:cs="Calibri"/>
          <w:i w:val="0"/>
          <w:color w:val="000000" w:themeColor="text1"/>
          <w:sz w:val="22"/>
          <w:szCs w:val="22"/>
        </w:rPr>
        <w:t xml:space="preserve"> between </w:t>
      </w:r>
      <w:r>
        <w:rPr>
          <w:rFonts w:ascii="Calibri" w:eastAsiaTheme="majorEastAsia" w:hAnsi="Calibri" w:cs="Calibri"/>
          <w:i w:val="0"/>
          <w:color w:val="000000" w:themeColor="text1"/>
          <w:sz w:val="22"/>
          <w:szCs w:val="22"/>
        </w:rPr>
        <w:t>crop irrigation and domestic water use has to be observed and documented.</w:t>
      </w:r>
      <w:r w:rsidRPr="0086049E">
        <w:rPr>
          <w:rFonts w:ascii="Calibri" w:eastAsiaTheme="majorEastAsia" w:hAnsi="Calibri" w:cs="Calibri"/>
          <w:i w:val="0"/>
          <w:color w:val="000000" w:themeColor="text1"/>
          <w:sz w:val="22"/>
          <w:szCs w:val="22"/>
        </w:rPr>
        <w:t>"</w:t>
      </w:r>
      <w:r>
        <w:rPr>
          <w:rFonts w:ascii="Calibri" w:eastAsiaTheme="majorEastAsia" w:hAnsi="Calibri" w:cs="Calibri"/>
          <w:i w:val="0"/>
          <w:color w:val="000000" w:themeColor="text1"/>
          <w:sz w:val="22"/>
          <w:szCs w:val="22"/>
        </w:rPr>
        <w:t xml:space="preserve"> </w:t>
      </w:r>
    </w:p>
    <w:p w14:paraId="076935DD" w14:textId="76EE85BB" w:rsidR="00F1396A" w:rsidRDefault="0086049E" w:rsidP="0073463E">
      <w:pPr>
        <w:pStyle w:val="Caption"/>
        <w:jc w:val="both"/>
        <w:rPr>
          <w:rFonts w:ascii="Calibri" w:eastAsiaTheme="majorEastAsia" w:hAnsi="Calibri" w:cs="Calibri"/>
          <w:i w:val="0"/>
          <w:color w:val="000000" w:themeColor="text1"/>
          <w:sz w:val="22"/>
          <w:szCs w:val="22"/>
        </w:rPr>
      </w:pPr>
      <w:r w:rsidRPr="0086049E">
        <w:rPr>
          <w:rFonts w:ascii="Calibri" w:eastAsiaTheme="majorEastAsia" w:hAnsi="Calibri" w:cs="Calibri"/>
          <w:i w:val="0"/>
          <w:color w:val="000000" w:themeColor="text1"/>
          <w:sz w:val="22"/>
          <w:szCs w:val="22"/>
        </w:rPr>
        <w:t xml:space="preserve">The WEF nexus study may provide information regarding the state of the basin's nexus system. The nexus strategy can be used with local experts and stakeholders (e.g., </w:t>
      </w:r>
      <w:r>
        <w:rPr>
          <w:rFonts w:ascii="Calibri" w:eastAsiaTheme="majorEastAsia" w:hAnsi="Calibri" w:cs="Calibri"/>
          <w:i w:val="0"/>
          <w:color w:val="000000" w:themeColor="text1"/>
          <w:sz w:val="22"/>
          <w:szCs w:val="22"/>
        </w:rPr>
        <w:t xml:space="preserve">Limpopo river basin </w:t>
      </w:r>
      <w:r w:rsidR="007E2ABE">
        <w:rPr>
          <w:rFonts w:ascii="Calibri" w:eastAsiaTheme="majorEastAsia" w:hAnsi="Calibri" w:cs="Calibri"/>
          <w:i w:val="0"/>
          <w:color w:val="000000" w:themeColor="text1"/>
          <w:sz w:val="22"/>
          <w:szCs w:val="22"/>
        </w:rPr>
        <w:t xml:space="preserve">local </w:t>
      </w:r>
      <w:r>
        <w:rPr>
          <w:rFonts w:ascii="Calibri" w:eastAsiaTheme="majorEastAsia" w:hAnsi="Calibri" w:cs="Calibri"/>
          <w:i w:val="0"/>
          <w:color w:val="000000" w:themeColor="text1"/>
          <w:sz w:val="22"/>
          <w:szCs w:val="22"/>
        </w:rPr>
        <w:t>management authority</w:t>
      </w:r>
      <w:r w:rsidR="005836D8">
        <w:rPr>
          <w:rFonts w:ascii="Calibri" w:eastAsiaTheme="majorEastAsia" w:hAnsi="Calibri" w:cs="Calibri"/>
          <w:i w:val="0"/>
          <w:color w:val="000000" w:themeColor="text1"/>
          <w:sz w:val="22"/>
          <w:szCs w:val="22"/>
        </w:rPr>
        <w:t xml:space="preserve"> (</w:t>
      </w:r>
      <w:r w:rsidR="001A3F77" w:rsidRPr="001A3F77">
        <w:rPr>
          <w:rFonts w:ascii="Calibri" w:eastAsiaTheme="majorEastAsia" w:hAnsi="Calibri" w:cs="Calibri"/>
          <w:i w:val="0"/>
          <w:color w:val="000000" w:themeColor="text1"/>
          <w:sz w:val="22"/>
          <w:szCs w:val="22"/>
        </w:rPr>
        <w:t>(interim name only</w:t>
      </w:r>
      <w:r w:rsidR="001A3F77">
        <w:rPr>
          <w:rFonts w:ascii="Calibri" w:eastAsiaTheme="majorEastAsia" w:hAnsi="Calibri" w:cs="Calibri"/>
          <w:i w:val="0"/>
          <w:color w:val="000000" w:themeColor="text1"/>
          <w:sz w:val="22"/>
          <w:szCs w:val="22"/>
        </w:rPr>
        <w:t>)</w:t>
      </w:r>
      <w:r w:rsidRPr="0086049E">
        <w:rPr>
          <w:rFonts w:ascii="Calibri" w:eastAsiaTheme="majorEastAsia" w:hAnsi="Calibri" w:cs="Calibri"/>
          <w:i w:val="0"/>
          <w:color w:val="000000" w:themeColor="text1"/>
          <w:sz w:val="22"/>
          <w:szCs w:val="22"/>
        </w:rPr>
        <w:t>, Ministries, international enterprises, private and public sectors) in mind.</w:t>
      </w:r>
      <w:r w:rsidR="007E2ABE">
        <w:rPr>
          <w:rFonts w:ascii="Calibri" w:eastAsiaTheme="majorEastAsia" w:hAnsi="Calibri" w:cs="Calibri"/>
          <w:i w:val="0"/>
          <w:color w:val="000000" w:themeColor="text1"/>
          <w:sz w:val="22"/>
          <w:szCs w:val="22"/>
        </w:rPr>
        <w:t xml:space="preserve"> </w:t>
      </w:r>
      <w:r w:rsidR="007E2ABE" w:rsidRPr="007E2ABE">
        <w:rPr>
          <w:rFonts w:ascii="Calibri" w:eastAsiaTheme="majorEastAsia" w:hAnsi="Calibri" w:cs="Calibri"/>
          <w:i w:val="0"/>
          <w:color w:val="000000" w:themeColor="text1"/>
          <w:sz w:val="22"/>
          <w:szCs w:val="22"/>
        </w:rPr>
        <w:t xml:space="preserve">The nexus approach can be used while keeping in mind the importance of local experts and stakeholders (e.g., Limpopo river basin local management authority, Ministries, private and public companies, NGOs, academia, local farmers, and so on) in co-developing, testing, validating, and refining the WEF nexus analysis through an interactive collaboration. The </w:t>
      </w:r>
      <w:r w:rsidR="007E2ABE">
        <w:rPr>
          <w:rFonts w:ascii="Calibri" w:eastAsiaTheme="majorEastAsia" w:hAnsi="Calibri" w:cs="Calibri"/>
          <w:i w:val="0"/>
          <w:color w:val="000000" w:themeColor="text1"/>
          <w:sz w:val="22"/>
          <w:szCs w:val="22"/>
        </w:rPr>
        <w:t>L</w:t>
      </w:r>
      <w:r w:rsidR="007E2ABE" w:rsidRPr="007E2ABE">
        <w:rPr>
          <w:rFonts w:ascii="Calibri" w:eastAsiaTheme="majorEastAsia" w:hAnsi="Calibri" w:cs="Calibri"/>
          <w:i w:val="0"/>
          <w:color w:val="000000" w:themeColor="text1"/>
          <w:sz w:val="22"/>
          <w:szCs w:val="22"/>
        </w:rPr>
        <w:t>RB nexus assessment may aid decision-making, resulting in the development of short-, medium-, and long-term strategies for sustainable integrated resource management in the basin and others with similar features.</w:t>
      </w:r>
    </w:p>
    <w:p w14:paraId="2F3998A1" w14:textId="77777777" w:rsidR="0086049E" w:rsidRPr="0086049E" w:rsidRDefault="0086049E" w:rsidP="0086049E"/>
    <w:p w14:paraId="263B05EA" w14:textId="67710BED" w:rsidR="00B92EB0" w:rsidRPr="0097651F" w:rsidRDefault="0097651F" w:rsidP="00B610D8">
      <w:pPr>
        <w:jc w:val="both"/>
        <w:rPr>
          <w:rFonts w:ascii="Times New Roman" w:hAnsi="Times New Roman" w:cs="Times New Roman"/>
          <w:b/>
        </w:rPr>
      </w:pPr>
      <w:r w:rsidRPr="0097651F">
        <w:rPr>
          <w:rFonts w:ascii="Times New Roman" w:hAnsi="Times New Roman" w:cs="Times New Roman"/>
          <w:b/>
        </w:rPr>
        <w:t>References</w:t>
      </w:r>
    </w:p>
    <w:p w14:paraId="2C4989FB" w14:textId="77777777" w:rsidR="00BC0343" w:rsidRPr="0019369C" w:rsidRDefault="00BC0343" w:rsidP="0019369C">
      <w:pPr>
        <w:spacing w:line="240" w:lineRule="auto"/>
        <w:jc w:val="both"/>
        <w:rPr>
          <w:rFonts w:ascii="Calibri" w:hAnsi="Calibri" w:cs="Calibri"/>
        </w:rPr>
      </w:pPr>
      <w:r w:rsidRPr="0019369C">
        <w:rPr>
          <w:rFonts w:ascii="Calibri" w:hAnsi="Calibri" w:cs="Calibri"/>
        </w:rPr>
        <w:t>DUKER, A., CAMBAZA, C., SAVECA, P., PONGUANE, S., MAWOYO, T., HULSHOF, M., NKOMO, L., HUSSEY, S., VAN DEN POL, B. &amp; VUIK, R. 2020a. Using nature-based water storage for smallholder irrigated agriculture in African drylands: Lessons from frugal innovation pilots in Mozambique and Zimbabwe. Environmental Science &amp; Policy, 107, 1-6.</w:t>
      </w:r>
    </w:p>
    <w:p w14:paraId="1C3F1DAE" w14:textId="77777777" w:rsidR="00BC0343" w:rsidRPr="0019369C" w:rsidRDefault="00BC0343" w:rsidP="0019369C">
      <w:pPr>
        <w:spacing w:line="240" w:lineRule="auto"/>
        <w:jc w:val="both"/>
        <w:rPr>
          <w:rFonts w:ascii="Calibri" w:hAnsi="Calibri" w:cs="Calibri"/>
        </w:rPr>
      </w:pPr>
      <w:r w:rsidRPr="0019369C">
        <w:rPr>
          <w:rFonts w:ascii="Calibri" w:hAnsi="Calibri" w:cs="Calibri"/>
        </w:rPr>
        <w:t>DUKER, A., MAWOYO, T., BOLDING, A., DE FRAITURE, C. &amp; VAN DER ZAAG, P. 2020b. Shifting or drifting? The crisis-driven advancement and failure of private smallholder irrigation from sand river aquifers in southern arid Zimbabwe. Agricultural Water Management, 241, 106342.</w:t>
      </w:r>
    </w:p>
    <w:p w14:paraId="02059F3C" w14:textId="77777777" w:rsidR="00BC0343" w:rsidRPr="0019369C" w:rsidRDefault="00BC0343" w:rsidP="0019369C">
      <w:pPr>
        <w:spacing w:line="240" w:lineRule="auto"/>
        <w:jc w:val="both"/>
        <w:rPr>
          <w:rFonts w:ascii="Calibri" w:hAnsi="Calibri" w:cs="Calibri"/>
        </w:rPr>
      </w:pPr>
      <w:r w:rsidRPr="0019369C">
        <w:rPr>
          <w:rFonts w:ascii="Calibri" w:hAnsi="Calibri" w:cs="Calibri"/>
        </w:rPr>
        <w:t>HOFF, H. 2011. Understanding the nexus.</w:t>
      </w:r>
    </w:p>
    <w:p w14:paraId="4680BB96" w14:textId="77777777" w:rsidR="0092718E" w:rsidRPr="0019369C" w:rsidRDefault="00BC0343" w:rsidP="0019369C">
      <w:pPr>
        <w:spacing w:line="240" w:lineRule="auto"/>
        <w:jc w:val="both"/>
        <w:rPr>
          <w:rFonts w:ascii="Calibri" w:hAnsi="Calibri" w:cs="Calibri"/>
        </w:rPr>
      </w:pPr>
      <w:r w:rsidRPr="0019369C">
        <w:rPr>
          <w:rFonts w:ascii="Calibri" w:hAnsi="Calibri" w:cs="Calibri"/>
        </w:rPr>
        <w:t>LOVE, D., VAN DER ZAAG, P., UHLENBROOK, S. &amp; OWEN, R. 2011. A water balance modelling approach to optimising the use of water resources in ephemeral sand rivers. River research and applications, 27, 908-925.</w:t>
      </w:r>
      <w:r w:rsidR="0092718E" w:rsidRPr="0019369C">
        <w:rPr>
          <w:rFonts w:ascii="Calibri" w:hAnsi="Calibri" w:cs="Calibri"/>
        </w:rPr>
        <w:t xml:space="preserve"> </w:t>
      </w:r>
    </w:p>
    <w:p w14:paraId="01B980B0" w14:textId="1BB6950C" w:rsidR="0092718E" w:rsidRPr="0019369C" w:rsidRDefault="0092718E" w:rsidP="0019369C">
      <w:pPr>
        <w:spacing w:line="240" w:lineRule="auto"/>
        <w:jc w:val="both"/>
        <w:rPr>
          <w:rFonts w:ascii="Calibri" w:hAnsi="Calibri" w:cs="Calibri"/>
        </w:rPr>
      </w:pPr>
      <w:r w:rsidRPr="0019369C">
        <w:rPr>
          <w:rFonts w:ascii="Calibri" w:hAnsi="Calibri" w:cs="Calibri"/>
        </w:rPr>
        <w:lastRenderedPageBreak/>
        <w:t>KERLEY, G. I., KNIGHT, M. H. &amp; DE KOCK, M. 1995. Desertification of subtropical thicket in the Eastern Cape, South Africa: are there alternatives? Environmental Monitoring and Assessment, 37, 211-230.</w:t>
      </w:r>
    </w:p>
    <w:p w14:paraId="3C62583B" w14:textId="448A7E35" w:rsidR="00BC0343" w:rsidRPr="0019369C" w:rsidRDefault="0092718E" w:rsidP="0019369C">
      <w:pPr>
        <w:spacing w:line="240" w:lineRule="auto"/>
        <w:jc w:val="both"/>
        <w:rPr>
          <w:rFonts w:ascii="Calibri" w:hAnsi="Calibri" w:cs="Calibri"/>
        </w:rPr>
      </w:pPr>
      <w:r w:rsidRPr="0019369C">
        <w:rPr>
          <w:rFonts w:ascii="Calibri" w:hAnsi="Calibri" w:cs="Calibri"/>
        </w:rPr>
        <w:t>LOGAN, T. J. 2020. Sustainable agriculture and water quality. Sustainable agricultural systems. CRC Press.</w:t>
      </w:r>
    </w:p>
    <w:p w14:paraId="23DF95DE" w14:textId="77777777" w:rsidR="00BC0343" w:rsidRPr="0019369C" w:rsidRDefault="00BC0343" w:rsidP="0019369C">
      <w:pPr>
        <w:spacing w:line="240" w:lineRule="auto"/>
        <w:jc w:val="both"/>
        <w:rPr>
          <w:rFonts w:ascii="Calibri" w:hAnsi="Calibri" w:cs="Calibri"/>
        </w:rPr>
      </w:pPr>
      <w:r w:rsidRPr="0019369C">
        <w:rPr>
          <w:rFonts w:ascii="Calibri" w:hAnsi="Calibri" w:cs="Calibri"/>
        </w:rPr>
        <w:t>MANSELL, M. &amp; HUSSEY, S. 2005. An investigation of flows and losses within the alluvial sands of ephemeral rivers in Zimbabwe. Journal of Hydrology, 314, 192-203.</w:t>
      </w:r>
    </w:p>
    <w:p w14:paraId="53853599" w14:textId="77777777" w:rsidR="00BC0343" w:rsidRPr="0019369C" w:rsidRDefault="00BC0343" w:rsidP="0019369C">
      <w:pPr>
        <w:spacing w:line="240" w:lineRule="auto"/>
        <w:jc w:val="both"/>
        <w:rPr>
          <w:rFonts w:ascii="Calibri" w:hAnsi="Calibri" w:cs="Calibri"/>
        </w:rPr>
      </w:pPr>
      <w:r w:rsidRPr="0019369C">
        <w:rPr>
          <w:rFonts w:ascii="Calibri" w:hAnsi="Calibri" w:cs="Calibri"/>
        </w:rPr>
        <w:t>MPALA, S. C., GAGNON, A. S., MANSELL, M. G. &amp; HUSSEY, S. W. 2016. The hydrology of sand rivers in Zimbabwe and the use of remote sensing to assess their level of saturation. Physics and Chemistry of the Earth, Parts A/B/C, 93, 24-36.</w:t>
      </w:r>
    </w:p>
    <w:p w14:paraId="38660127" w14:textId="77777777" w:rsidR="00BC0343" w:rsidRPr="0019369C" w:rsidRDefault="00BC0343" w:rsidP="0019369C">
      <w:pPr>
        <w:spacing w:line="240" w:lineRule="auto"/>
        <w:jc w:val="both"/>
        <w:rPr>
          <w:rFonts w:ascii="Calibri" w:hAnsi="Calibri" w:cs="Calibri"/>
        </w:rPr>
      </w:pPr>
      <w:r w:rsidRPr="0019369C">
        <w:rPr>
          <w:rFonts w:ascii="Calibri" w:hAnsi="Calibri" w:cs="Calibri"/>
        </w:rPr>
        <w:t>MPALA, S. C., GAGNON, A. S., MANSELL, M. G. &amp; HUSSEY, S. W. 2020. Modelling the water level of the alluvial aquifer of an ephemeral river in south-western Zimbabwe. Hydrological Sciences Journal, 65, 1399-1415.</w:t>
      </w:r>
    </w:p>
    <w:p w14:paraId="3C471574" w14:textId="77777777" w:rsidR="00BC0343" w:rsidRPr="0019369C" w:rsidRDefault="00BC0343" w:rsidP="0019369C">
      <w:pPr>
        <w:spacing w:line="240" w:lineRule="auto"/>
        <w:jc w:val="both"/>
        <w:rPr>
          <w:rFonts w:ascii="Calibri" w:hAnsi="Calibri" w:cs="Calibri"/>
        </w:rPr>
      </w:pPr>
      <w:r w:rsidRPr="0019369C">
        <w:rPr>
          <w:rFonts w:ascii="Calibri" w:hAnsi="Calibri" w:cs="Calibri"/>
        </w:rPr>
        <w:t xml:space="preserve">SVUBURE, O., GUMBO, T., SOROPA, G., RUSERE, F., NDEKETEYA, A. &amp; MOYO, D. 2011. Evaluation of the Sand Abstraction Systems for Rural Water Supply: the case of </w:t>
      </w:r>
      <w:proofErr w:type="spellStart"/>
      <w:r w:rsidRPr="0019369C">
        <w:rPr>
          <w:rFonts w:ascii="Calibri" w:hAnsi="Calibri" w:cs="Calibri"/>
        </w:rPr>
        <w:t>Lupane</w:t>
      </w:r>
      <w:proofErr w:type="spellEnd"/>
      <w:r w:rsidRPr="0019369C">
        <w:rPr>
          <w:rFonts w:ascii="Calibri" w:hAnsi="Calibri" w:cs="Calibri"/>
        </w:rPr>
        <w:t xml:space="preserve"> District, Zimbabwe. International Journal of Engineering Science and Technology (IJEST), 3, 757-765.</w:t>
      </w:r>
    </w:p>
    <w:p w14:paraId="0E0EC648" w14:textId="77777777" w:rsidR="00BC0343" w:rsidRPr="0019369C" w:rsidRDefault="00BC0343" w:rsidP="0019369C">
      <w:pPr>
        <w:spacing w:line="240" w:lineRule="auto"/>
        <w:jc w:val="both"/>
        <w:rPr>
          <w:rFonts w:ascii="Calibri" w:hAnsi="Calibri" w:cs="Calibri"/>
        </w:rPr>
      </w:pPr>
      <w:r w:rsidRPr="0019369C">
        <w:rPr>
          <w:rFonts w:ascii="Calibri" w:hAnsi="Calibri" w:cs="Calibri"/>
        </w:rPr>
        <w:t xml:space="preserve">WALKER, D., JOVANOVIC, N., BUGAN, R., ABIYE, T., DU PREEZ, D., PARKIN, G. &amp; GOWING, J. 2018. Alluvial aquifer characterisation and resource assessment of the </w:t>
      </w:r>
      <w:proofErr w:type="spellStart"/>
      <w:r w:rsidRPr="0019369C">
        <w:rPr>
          <w:rFonts w:ascii="Calibri" w:hAnsi="Calibri" w:cs="Calibri"/>
        </w:rPr>
        <w:t>Molototsi</w:t>
      </w:r>
      <w:proofErr w:type="spellEnd"/>
      <w:r w:rsidRPr="0019369C">
        <w:rPr>
          <w:rFonts w:ascii="Calibri" w:hAnsi="Calibri" w:cs="Calibri"/>
        </w:rPr>
        <w:t xml:space="preserve"> sand river, Limpopo, South Africa. Journal of Hydrology: Regional Studies, 19, 177-192.</w:t>
      </w:r>
    </w:p>
    <w:p w14:paraId="7840D01E" w14:textId="77777777" w:rsidR="00BC0343" w:rsidRDefault="00BC0343" w:rsidP="00B610D8">
      <w:pPr>
        <w:jc w:val="both"/>
        <w:rPr>
          <w:rFonts w:ascii="Times New Roman" w:hAnsi="Times New Roman" w:cs="Times New Roman"/>
        </w:rPr>
      </w:pPr>
      <w:bookmarkStart w:id="1" w:name="_GoBack"/>
      <w:bookmarkEnd w:id="1"/>
    </w:p>
    <w:p w14:paraId="6ECF16A6" w14:textId="53A9353E" w:rsidR="0097651F" w:rsidRPr="005E57B4" w:rsidRDefault="0097651F">
      <w:pPr>
        <w:jc w:val="both"/>
        <w:rPr>
          <w:rFonts w:ascii="Times New Roman" w:hAnsi="Times New Roman" w:cs="Times New Roman"/>
        </w:rPr>
      </w:pPr>
    </w:p>
    <w:sectPr w:rsidR="0097651F" w:rsidRPr="005E57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7D16"/>
    <w:multiLevelType w:val="hybridMultilevel"/>
    <w:tmpl w:val="2CE4A13A"/>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3F51BC"/>
    <w:multiLevelType w:val="hybridMultilevel"/>
    <w:tmpl w:val="C93A6F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00A9F"/>
    <w:multiLevelType w:val="hybridMultilevel"/>
    <w:tmpl w:val="450EAF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D1BF9"/>
    <w:multiLevelType w:val="hybridMultilevel"/>
    <w:tmpl w:val="408C9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55609AC"/>
    <w:multiLevelType w:val="hybridMultilevel"/>
    <w:tmpl w:val="2C20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45EEA"/>
    <w:multiLevelType w:val="hybridMultilevel"/>
    <w:tmpl w:val="FD08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6593E"/>
    <w:multiLevelType w:val="hybridMultilevel"/>
    <w:tmpl w:val="E57EC2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4291019C"/>
    <w:multiLevelType w:val="hybridMultilevel"/>
    <w:tmpl w:val="CED434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435C5F85"/>
    <w:multiLevelType w:val="hybridMultilevel"/>
    <w:tmpl w:val="8416BF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2A96B8A"/>
    <w:multiLevelType w:val="hybridMultilevel"/>
    <w:tmpl w:val="A504FA4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7BB5BBA"/>
    <w:multiLevelType w:val="hybridMultilevel"/>
    <w:tmpl w:val="8E5A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126E86"/>
    <w:multiLevelType w:val="hybridMultilevel"/>
    <w:tmpl w:val="BDC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2088B"/>
    <w:multiLevelType w:val="hybridMultilevel"/>
    <w:tmpl w:val="BB56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81BC7"/>
    <w:multiLevelType w:val="hybridMultilevel"/>
    <w:tmpl w:val="B5E6C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4B6A01"/>
    <w:multiLevelType w:val="hybridMultilevel"/>
    <w:tmpl w:val="EAA204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4"/>
  </w:num>
  <w:num w:numId="3">
    <w:abstractNumId w:val="7"/>
  </w:num>
  <w:num w:numId="4">
    <w:abstractNumId w:val="0"/>
  </w:num>
  <w:num w:numId="5">
    <w:abstractNumId w:val="6"/>
  </w:num>
  <w:num w:numId="6">
    <w:abstractNumId w:val="8"/>
  </w:num>
  <w:num w:numId="7">
    <w:abstractNumId w:val="1"/>
  </w:num>
  <w:num w:numId="8">
    <w:abstractNumId w:val="12"/>
  </w:num>
  <w:num w:numId="9">
    <w:abstractNumId w:val="11"/>
  </w:num>
  <w:num w:numId="10">
    <w:abstractNumId w:val="10"/>
  </w:num>
  <w:num w:numId="11">
    <w:abstractNumId w:val="5"/>
  </w:num>
  <w:num w:numId="12">
    <w:abstractNumId w:val="13"/>
  </w:num>
  <w:num w:numId="13">
    <w:abstractNumId w:val="14"/>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zpwv2rlwzprbe2st55tazbzpdpxtxrezwa&quot;&gt;Sand rivers_WEF&lt;record-ids&gt;&lt;item&gt;7&lt;/item&gt;&lt;item&gt;8&lt;/item&gt;&lt;item&gt;10&lt;/item&gt;&lt;item&gt;11&lt;/item&gt;&lt;/record-ids&gt;&lt;/item&gt;&lt;/Libraries&gt;"/>
  </w:docVars>
  <w:rsids>
    <w:rsidRoot w:val="007F42F7"/>
    <w:rsid w:val="00011DDD"/>
    <w:rsid w:val="00041133"/>
    <w:rsid w:val="00044873"/>
    <w:rsid w:val="0006017F"/>
    <w:rsid w:val="0007305E"/>
    <w:rsid w:val="0009013B"/>
    <w:rsid w:val="00091315"/>
    <w:rsid w:val="00093AFE"/>
    <w:rsid w:val="000A169A"/>
    <w:rsid w:val="000A2C6E"/>
    <w:rsid w:val="000B196E"/>
    <w:rsid w:val="000B2362"/>
    <w:rsid w:val="000B648E"/>
    <w:rsid w:val="000D4B4A"/>
    <w:rsid w:val="000E5B64"/>
    <w:rsid w:val="000E61D6"/>
    <w:rsid w:val="000E67CB"/>
    <w:rsid w:val="000E7AAF"/>
    <w:rsid w:val="000F0D6A"/>
    <w:rsid w:val="00101F7F"/>
    <w:rsid w:val="00104ED9"/>
    <w:rsid w:val="001164B6"/>
    <w:rsid w:val="00117911"/>
    <w:rsid w:val="00125685"/>
    <w:rsid w:val="0013248F"/>
    <w:rsid w:val="001345BE"/>
    <w:rsid w:val="00137D93"/>
    <w:rsid w:val="0015469C"/>
    <w:rsid w:val="00163608"/>
    <w:rsid w:val="00166302"/>
    <w:rsid w:val="00173E33"/>
    <w:rsid w:val="00183634"/>
    <w:rsid w:val="00184FA9"/>
    <w:rsid w:val="0019364B"/>
    <w:rsid w:val="0019369C"/>
    <w:rsid w:val="001A3438"/>
    <w:rsid w:val="001A3DB4"/>
    <w:rsid w:val="001A3F77"/>
    <w:rsid w:val="001A621E"/>
    <w:rsid w:val="001C3E8F"/>
    <w:rsid w:val="001C6C9D"/>
    <w:rsid w:val="001D1282"/>
    <w:rsid w:val="001E2260"/>
    <w:rsid w:val="001F20C9"/>
    <w:rsid w:val="001F5411"/>
    <w:rsid w:val="00203F1C"/>
    <w:rsid w:val="00226B54"/>
    <w:rsid w:val="002364FD"/>
    <w:rsid w:val="00243305"/>
    <w:rsid w:val="0024385B"/>
    <w:rsid w:val="0025409C"/>
    <w:rsid w:val="002578DE"/>
    <w:rsid w:val="00265D65"/>
    <w:rsid w:val="002858E3"/>
    <w:rsid w:val="002A25E5"/>
    <w:rsid w:val="002A3400"/>
    <w:rsid w:val="002A4E2D"/>
    <w:rsid w:val="002A724C"/>
    <w:rsid w:val="002B42F0"/>
    <w:rsid w:val="002C4758"/>
    <w:rsid w:val="002D2564"/>
    <w:rsid w:val="002D3FDE"/>
    <w:rsid w:val="0030063F"/>
    <w:rsid w:val="00305A95"/>
    <w:rsid w:val="00312131"/>
    <w:rsid w:val="00337E44"/>
    <w:rsid w:val="00343337"/>
    <w:rsid w:val="003447C4"/>
    <w:rsid w:val="00346E50"/>
    <w:rsid w:val="003633D7"/>
    <w:rsid w:val="00363417"/>
    <w:rsid w:val="003725DF"/>
    <w:rsid w:val="00372E3E"/>
    <w:rsid w:val="003743F1"/>
    <w:rsid w:val="0037744D"/>
    <w:rsid w:val="00393E2C"/>
    <w:rsid w:val="003A6332"/>
    <w:rsid w:val="003B00BE"/>
    <w:rsid w:val="003B74A2"/>
    <w:rsid w:val="003D72D4"/>
    <w:rsid w:val="003D76FC"/>
    <w:rsid w:val="003E4A52"/>
    <w:rsid w:val="003F7AF6"/>
    <w:rsid w:val="004000EC"/>
    <w:rsid w:val="00401021"/>
    <w:rsid w:val="00422A19"/>
    <w:rsid w:val="0042595A"/>
    <w:rsid w:val="00430C16"/>
    <w:rsid w:val="004355B8"/>
    <w:rsid w:val="004377F4"/>
    <w:rsid w:val="00450E87"/>
    <w:rsid w:val="004621F9"/>
    <w:rsid w:val="00465AC1"/>
    <w:rsid w:val="00471E1F"/>
    <w:rsid w:val="00483280"/>
    <w:rsid w:val="0048643F"/>
    <w:rsid w:val="004A0143"/>
    <w:rsid w:val="004A6E16"/>
    <w:rsid w:val="004A720C"/>
    <w:rsid w:val="004B2520"/>
    <w:rsid w:val="004C5A1E"/>
    <w:rsid w:val="004F0C31"/>
    <w:rsid w:val="004F24C0"/>
    <w:rsid w:val="005029CB"/>
    <w:rsid w:val="00503A32"/>
    <w:rsid w:val="0050582A"/>
    <w:rsid w:val="00505E1B"/>
    <w:rsid w:val="0052468A"/>
    <w:rsid w:val="0053613D"/>
    <w:rsid w:val="00546B0D"/>
    <w:rsid w:val="00546B5E"/>
    <w:rsid w:val="00562602"/>
    <w:rsid w:val="00562B8A"/>
    <w:rsid w:val="005812B7"/>
    <w:rsid w:val="00582B7D"/>
    <w:rsid w:val="005836D8"/>
    <w:rsid w:val="00584A6A"/>
    <w:rsid w:val="00590911"/>
    <w:rsid w:val="00592E9D"/>
    <w:rsid w:val="005A19CB"/>
    <w:rsid w:val="005A3609"/>
    <w:rsid w:val="005B6518"/>
    <w:rsid w:val="005C2B6E"/>
    <w:rsid w:val="005D5C61"/>
    <w:rsid w:val="005E57B4"/>
    <w:rsid w:val="005F4F14"/>
    <w:rsid w:val="005F7D28"/>
    <w:rsid w:val="00601483"/>
    <w:rsid w:val="00605D6D"/>
    <w:rsid w:val="006107C2"/>
    <w:rsid w:val="00610F33"/>
    <w:rsid w:val="00612CA9"/>
    <w:rsid w:val="00630F32"/>
    <w:rsid w:val="00640552"/>
    <w:rsid w:val="00645E5D"/>
    <w:rsid w:val="00650C3A"/>
    <w:rsid w:val="006578BA"/>
    <w:rsid w:val="0066200F"/>
    <w:rsid w:val="00662918"/>
    <w:rsid w:val="00672CC5"/>
    <w:rsid w:val="00676C48"/>
    <w:rsid w:val="006773AE"/>
    <w:rsid w:val="00682DC7"/>
    <w:rsid w:val="00683AB7"/>
    <w:rsid w:val="00685B3A"/>
    <w:rsid w:val="00685DB3"/>
    <w:rsid w:val="00696188"/>
    <w:rsid w:val="006A498F"/>
    <w:rsid w:val="006B7B7F"/>
    <w:rsid w:val="006D2FEC"/>
    <w:rsid w:val="006D4277"/>
    <w:rsid w:val="006D5E11"/>
    <w:rsid w:val="006D6CAF"/>
    <w:rsid w:val="006E3042"/>
    <w:rsid w:val="006F1CB8"/>
    <w:rsid w:val="007075A1"/>
    <w:rsid w:val="00711165"/>
    <w:rsid w:val="007170E6"/>
    <w:rsid w:val="00727E57"/>
    <w:rsid w:val="007305B3"/>
    <w:rsid w:val="007325FE"/>
    <w:rsid w:val="0073463E"/>
    <w:rsid w:val="00735B67"/>
    <w:rsid w:val="00736EB6"/>
    <w:rsid w:val="00737382"/>
    <w:rsid w:val="00754E43"/>
    <w:rsid w:val="00761DDB"/>
    <w:rsid w:val="0076400A"/>
    <w:rsid w:val="007803BD"/>
    <w:rsid w:val="00784075"/>
    <w:rsid w:val="00787CB9"/>
    <w:rsid w:val="00794C29"/>
    <w:rsid w:val="007A4645"/>
    <w:rsid w:val="007B45F2"/>
    <w:rsid w:val="007B4BF7"/>
    <w:rsid w:val="007C4E02"/>
    <w:rsid w:val="007C7515"/>
    <w:rsid w:val="007E1883"/>
    <w:rsid w:val="007E2ABE"/>
    <w:rsid w:val="007E4E9B"/>
    <w:rsid w:val="007F42F7"/>
    <w:rsid w:val="007F5277"/>
    <w:rsid w:val="007F6119"/>
    <w:rsid w:val="00807535"/>
    <w:rsid w:val="0082746A"/>
    <w:rsid w:val="00832097"/>
    <w:rsid w:val="00835A36"/>
    <w:rsid w:val="008415DA"/>
    <w:rsid w:val="00846076"/>
    <w:rsid w:val="00851D64"/>
    <w:rsid w:val="00851FF5"/>
    <w:rsid w:val="0086049E"/>
    <w:rsid w:val="008758F6"/>
    <w:rsid w:val="008902DE"/>
    <w:rsid w:val="00890D0B"/>
    <w:rsid w:val="0089134B"/>
    <w:rsid w:val="00891392"/>
    <w:rsid w:val="008917EA"/>
    <w:rsid w:val="00895187"/>
    <w:rsid w:val="008A7C75"/>
    <w:rsid w:val="008B08A4"/>
    <w:rsid w:val="008B51F8"/>
    <w:rsid w:val="008B755B"/>
    <w:rsid w:val="008C1B38"/>
    <w:rsid w:val="008C541D"/>
    <w:rsid w:val="008C6B01"/>
    <w:rsid w:val="008D4BEE"/>
    <w:rsid w:val="008D64B8"/>
    <w:rsid w:val="008E13D2"/>
    <w:rsid w:val="008E7ABA"/>
    <w:rsid w:val="008F0314"/>
    <w:rsid w:val="0090202F"/>
    <w:rsid w:val="009030EC"/>
    <w:rsid w:val="00903770"/>
    <w:rsid w:val="009055DD"/>
    <w:rsid w:val="00907BCA"/>
    <w:rsid w:val="00917BB9"/>
    <w:rsid w:val="0092244C"/>
    <w:rsid w:val="00923426"/>
    <w:rsid w:val="0092718E"/>
    <w:rsid w:val="00933FD1"/>
    <w:rsid w:val="00961960"/>
    <w:rsid w:val="0096343E"/>
    <w:rsid w:val="00966BFB"/>
    <w:rsid w:val="0097229E"/>
    <w:rsid w:val="009742AE"/>
    <w:rsid w:val="0097651F"/>
    <w:rsid w:val="00977206"/>
    <w:rsid w:val="00983F34"/>
    <w:rsid w:val="00987F27"/>
    <w:rsid w:val="009A3665"/>
    <w:rsid w:val="009B1336"/>
    <w:rsid w:val="009C3138"/>
    <w:rsid w:val="009C7241"/>
    <w:rsid w:val="009D1DCB"/>
    <w:rsid w:val="009D2111"/>
    <w:rsid w:val="009D54DB"/>
    <w:rsid w:val="009E2E9F"/>
    <w:rsid w:val="009E3611"/>
    <w:rsid w:val="009E7E94"/>
    <w:rsid w:val="009F4710"/>
    <w:rsid w:val="009F528D"/>
    <w:rsid w:val="009F6F30"/>
    <w:rsid w:val="00A01AAD"/>
    <w:rsid w:val="00A07380"/>
    <w:rsid w:val="00A13B04"/>
    <w:rsid w:val="00A16450"/>
    <w:rsid w:val="00A344B9"/>
    <w:rsid w:val="00A345B4"/>
    <w:rsid w:val="00A369C8"/>
    <w:rsid w:val="00A430FE"/>
    <w:rsid w:val="00A518A6"/>
    <w:rsid w:val="00A52739"/>
    <w:rsid w:val="00A63AEE"/>
    <w:rsid w:val="00A64526"/>
    <w:rsid w:val="00A7332A"/>
    <w:rsid w:val="00A8173D"/>
    <w:rsid w:val="00A81CB2"/>
    <w:rsid w:val="00A85405"/>
    <w:rsid w:val="00A96BF0"/>
    <w:rsid w:val="00AA2D7E"/>
    <w:rsid w:val="00AA2EF7"/>
    <w:rsid w:val="00AA365A"/>
    <w:rsid w:val="00AC4D3A"/>
    <w:rsid w:val="00AD0CB6"/>
    <w:rsid w:val="00AD1AE9"/>
    <w:rsid w:val="00AD5F6E"/>
    <w:rsid w:val="00AD7DDC"/>
    <w:rsid w:val="00AF422C"/>
    <w:rsid w:val="00B52C61"/>
    <w:rsid w:val="00B610D8"/>
    <w:rsid w:val="00B63F13"/>
    <w:rsid w:val="00B82D6F"/>
    <w:rsid w:val="00B92EB0"/>
    <w:rsid w:val="00B976F1"/>
    <w:rsid w:val="00BA27FC"/>
    <w:rsid w:val="00BA6F76"/>
    <w:rsid w:val="00BB457A"/>
    <w:rsid w:val="00BB4D4E"/>
    <w:rsid w:val="00BC0343"/>
    <w:rsid w:val="00BC2B95"/>
    <w:rsid w:val="00BD5394"/>
    <w:rsid w:val="00BE3051"/>
    <w:rsid w:val="00C0084B"/>
    <w:rsid w:val="00C05BA9"/>
    <w:rsid w:val="00C25789"/>
    <w:rsid w:val="00C52CD6"/>
    <w:rsid w:val="00C54B3A"/>
    <w:rsid w:val="00C571D5"/>
    <w:rsid w:val="00C60DE7"/>
    <w:rsid w:val="00C734EB"/>
    <w:rsid w:val="00C916C7"/>
    <w:rsid w:val="00C92F73"/>
    <w:rsid w:val="00C933DE"/>
    <w:rsid w:val="00CC21D0"/>
    <w:rsid w:val="00CD50F8"/>
    <w:rsid w:val="00CD524B"/>
    <w:rsid w:val="00CD5350"/>
    <w:rsid w:val="00CE19A5"/>
    <w:rsid w:val="00CF2B87"/>
    <w:rsid w:val="00D04A66"/>
    <w:rsid w:val="00D104E0"/>
    <w:rsid w:val="00D1192C"/>
    <w:rsid w:val="00D22BDB"/>
    <w:rsid w:val="00D349D8"/>
    <w:rsid w:val="00D478E7"/>
    <w:rsid w:val="00D63827"/>
    <w:rsid w:val="00D70DAC"/>
    <w:rsid w:val="00D77068"/>
    <w:rsid w:val="00D82F4B"/>
    <w:rsid w:val="00D86BCB"/>
    <w:rsid w:val="00D94A6E"/>
    <w:rsid w:val="00DA42E0"/>
    <w:rsid w:val="00DB3504"/>
    <w:rsid w:val="00DC0BC0"/>
    <w:rsid w:val="00DD670F"/>
    <w:rsid w:val="00DD6B10"/>
    <w:rsid w:val="00DE1783"/>
    <w:rsid w:val="00DF1FB6"/>
    <w:rsid w:val="00DF3788"/>
    <w:rsid w:val="00DF5FF6"/>
    <w:rsid w:val="00E01845"/>
    <w:rsid w:val="00E057E8"/>
    <w:rsid w:val="00E06F31"/>
    <w:rsid w:val="00E13837"/>
    <w:rsid w:val="00E33580"/>
    <w:rsid w:val="00E50D93"/>
    <w:rsid w:val="00E51E7B"/>
    <w:rsid w:val="00E60A85"/>
    <w:rsid w:val="00E62EE6"/>
    <w:rsid w:val="00E648D5"/>
    <w:rsid w:val="00E6630D"/>
    <w:rsid w:val="00E75806"/>
    <w:rsid w:val="00E82DD5"/>
    <w:rsid w:val="00E8564A"/>
    <w:rsid w:val="00E861E9"/>
    <w:rsid w:val="00E92129"/>
    <w:rsid w:val="00E92B4D"/>
    <w:rsid w:val="00E945D8"/>
    <w:rsid w:val="00EB7A06"/>
    <w:rsid w:val="00EC0391"/>
    <w:rsid w:val="00EC06C2"/>
    <w:rsid w:val="00F1396A"/>
    <w:rsid w:val="00F1691F"/>
    <w:rsid w:val="00F32235"/>
    <w:rsid w:val="00F40B6D"/>
    <w:rsid w:val="00F50DCF"/>
    <w:rsid w:val="00F547E6"/>
    <w:rsid w:val="00F54FCF"/>
    <w:rsid w:val="00F57C79"/>
    <w:rsid w:val="00F71CFB"/>
    <w:rsid w:val="00F812BE"/>
    <w:rsid w:val="00F8631D"/>
    <w:rsid w:val="00FA15DD"/>
    <w:rsid w:val="00FB4E32"/>
    <w:rsid w:val="00FC5E92"/>
    <w:rsid w:val="00FC64F9"/>
    <w:rsid w:val="00FC7709"/>
    <w:rsid w:val="00FD17FE"/>
    <w:rsid w:val="00FD66DE"/>
    <w:rsid w:val="00FD7B4B"/>
    <w:rsid w:val="00FF5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AA62"/>
  <w15:chartTrackingRefBased/>
  <w15:docId w15:val="{B6855E40-F01D-4F2D-BC02-69B643E3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64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F42F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C64F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E19A5"/>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4C5A1E"/>
    <w:pPr>
      <w:spacing w:after="0"/>
      <w:jc w:val="center"/>
    </w:pPr>
    <w:rPr>
      <w:rFonts w:ascii="Calibri" w:hAnsi="Calibri" w:cs="Calibri"/>
      <w:noProof/>
      <w:sz w:val="18"/>
      <w:lang w:val="en-US"/>
    </w:rPr>
  </w:style>
  <w:style w:type="character" w:customStyle="1" w:styleId="EndNoteBibliographyTitleChar">
    <w:name w:val="EndNote Bibliography Title Char"/>
    <w:basedOn w:val="DefaultParagraphFont"/>
    <w:link w:val="EndNoteBibliographyTitle"/>
    <w:rsid w:val="004C5A1E"/>
    <w:rPr>
      <w:rFonts w:ascii="Calibri" w:hAnsi="Calibri" w:cs="Calibri"/>
      <w:noProof/>
      <w:sz w:val="18"/>
      <w:lang w:val="en-US"/>
    </w:rPr>
  </w:style>
  <w:style w:type="paragraph" w:customStyle="1" w:styleId="EndNoteBibliography">
    <w:name w:val="EndNote Bibliography"/>
    <w:basedOn w:val="Normal"/>
    <w:link w:val="EndNoteBibliographyChar"/>
    <w:rsid w:val="004C5A1E"/>
    <w:pPr>
      <w:spacing w:line="240" w:lineRule="auto"/>
    </w:pPr>
    <w:rPr>
      <w:rFonts w:ascii="Calibri" w:hAnsi="Calibri" w:cs="Calibri"/>
      <w:noProof/>
      <w:sz w:val="18"/>
      <w:lang w:val="en-US"/>
    </w:rPr>
  </w:style>
  <w:style w:type="character" w:customStyle="1" w:styleId="EndNoteBibliographyChar">
    <w:name w:val="EndNote Bibliography Char"/>
    <w:basedOn w:val="DefaultParagraphFont"/>
    <w:link w:val="EndNoteBibliography"/>
    <w:rsid w:val="004C5A1E"/>
    <w:rPr>
      <w:rFonts w:ascii="Calibri" w:hAnsi="Calibri" w:cs="Calibri"/>
      <w:noProof/>
      <w:sz w:val="18"/>
      <w:lang w:val="en-US"/>
    </w:rPr>
  </w:style>
  <w:style w:type="table" w:styleId="TableGrid">
    <w:name w:val="Table Grid"/>
    <w:basedOn w:val="TableNormal"/>
    <w:uiPriority w:val="39"/>
    <w:rsid w:val="0084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138"/>
    <w:pPr>
      <w:ind w:left="720"/>
      <w:contextualSpacing/>
    </w:pPr>
  </w:style>
  <w:style w:type="character" w:styleId="CommentReference">
    <w:name w:val="annotation reference"/>
    <w:basedOn w:val="DefaultParagraphFont"/>
    <w:uiPriority w:val="99"/>
    <w:semiHidden/>
    <w:unhideWhenUsed/>
    <w:rsid w:val="00A96BF0"/>
    <w:rPr>
      <w:sz w:val="16"/>
      <w:szCs w:val="16"/>
    </w:rPr>
  </w:style>
  <w:style w:type="paragraph" w:styleId="CommentText">
    <w:name w:val="annotation text"/>
    <w:basedOn w:val="Normal"/>
    <w:link w:val="CommentTextChar"/>
    <w:uiPriority w:val="99"/>
    <w:semiHidden/>
    <w:unhideWhenUsed/>
    <w:rsid w:val="00A96BF0"/>
    <w:pPr>
      <w:spacing w:line="240" w:lineRule="auto"/>
    </w:pPr>
    <w:rPr>
      <w:sz w:val="20"/>
      <w:szCs w:val="20"/>
    </w:rPr>
  </w:style>
  <w:style w:type="character" w:customStyle="1" w:styleId="CommentTextChar">
    <w:name w:val="Comment Text Char"/>
    <w:basedOn w:val="DefaultParagraphFont"/>
    <w:link w:val="CommentText"/>
    <w:uiPriority w:val="99"/>
    <w:semiHidden/>
    <w:rsid w:val="00A96BF0"/>
    <w:rPr>
      <w:sz w:val="20"/>
      <w:szCs w:val="20"/>
    </w:rPr>
  </w:style>
  <w:style w:type="paragraph" w:styleId="CommentSubject">
    <w:name w:val="annotation subject"/>
    <w:basedOn w:val="CommentText"/>
    <w:next w:val="CommentText"/>
    <w:link w:val="CommentSubjectChar"/>
    <w:uiPriority w:val="99"/>
    <w:semiHidden/>
    <w:unhideWhenUsed/>
    <w:rsid w:val="00A96BF0"/>
    <w:rPr>
      <w:b/>
      <w:bCs/>
    </w:rPr>
  </w:style>
  <w:style w:type="character" w:customStyle="1" w:styleId="CommentSubjectChar">
    <w:name w:val="Comment Subject Char"/>
    <w:basedOn w:val="CommentTextChar"/>
    <w:link w:val="CommentSubject"/>
    <w:uiPriority w:val="99"/>
    <w:semiHidden/>
    <w:rsid w:val="00A96BF0"/>
    <w:rPr>
      <w:b/>
      <w:bCs/>
      <w:sz w:val="20"/>
      <w:szCs w:val="20"/>
    </w:rPr>
  </w:style>
  <w:style w:type="paragraph" w:styleId="BalloonText">
    <w:name w:val="Balloon Text"/>
    <w:basedOn w:val="Normal"/>
    <w:link w:val="BalloonTextChar"/>
    <w:uiPriority w:val="99"/>
    <w:semiHidden/>
    <w:unhideWhenUsed/>
    <w:rsid w:val="00A96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7DEB-518B-4C19-BEBB-DBA5ECD7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IHE Delft</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Tsitsi Bangira</dc:creator>
  <cp:keywords/>
  <dc:description/>
  <cp:lastModifiedBy>user</cp:lastModifiedBy>
  <cp:revision>9</cp:revision>
  <cp:lastPrinted>2022-07-19T09:49:00Z</cp:lastPrinted>
  <dcterms:created xsi:type="dcterms:W3CDTF">2023-05-15T09:00:00Z</dcterms:created>
  <dcterms:modified xsi:type="dcterms:W3CDTF">2023-05-15T11:16:00Z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463f77ef60453b82ba698c8322822e706ddd642fd7dd6e04286c0fa9ea966e3e</vt:lpwstr>
  </property>
</Properties>
</file>